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Times New Roman" w:eastAsia="方正小标宋简体" w:cs="Times New Roman"/>
          <w:sz w:val="16"/>
          <w:szCs w:val="32"/>
        </w:rPr>
      </w:pPr>
    </w:p>
    <w:p>
      <w:pPr>
        <w:pStyle w:val="6"/>
      </w:pPr>
    </w:p>
    <w:p>
      <w:pPr>
        <w:rPr>
          <w:rFonts w:ascii="方正小标宋简体" w:hAnsi="Times New Roman" w:eastAsia="方正小标宋简体" w:cs="Times New Roman"/>
          <w:sz w:val="16"/>
          <w:szCs w:val="32"/>
        </w:rPr>
      </w:pPr>
    </w:p>
    <w:p>
      <w:pPr>
        <w:rPr>
          <w:rFonts w:ascii="仿宋_GB2312" w:hAnsi="Times New Roman" w:eastAsia="仿宋_GB2312" w:cs="Times New Roman"/>
          <w:sz w:val="32"/>
          <w:szCs w:val="32"/>
        </w:rPr>
      </w:pPr>
    </w:p>
    <w:p>
      <w:pPr>
        <w:spacing w:line="72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迪环审〔2020〕</w:t>
      </w:r>
      <w:r>
        <w:rPr>
          <w:rFonts w:hint="eastAsia" w:ascii="仿宋_GB2312" w:hAnsi="Times New Roman" w:eastAsia="仿宋_GB2312" w:cs="Times New Roman"/>
          <w:sz w:val="32"/>
          <w:szCs w:val="32"/>
          <w:lang w:val="en-US" w:eastAsia="zh-CN"/>
        </w:rPr>
        <w:t>30</w:t>
      </w:r>
      <w:r>
        <w:rPr>
          <w:rFonts w:hint="eastAsia" w:ascii="仿宋_GB2312" w:hAnsi="Times New Roman" w:eastAsia="仿宋_GB2312" w:cs="Times New Roman"/>
          <w:sz w:val="32"/>
          <w:szCs w:val="32"/>
        </w:rPr>
        <w:t>号</w:t>
      </w:r>
    </w:p>
    <w:p>
      <w:pPr>
        <w:rPr>
          <w:rFonts w:ascii="方正小标宋简体" w:hAnsi="Times New Roman" w:eastAsia="方正小标宋简体" w:cs="Times New Roman"/>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1" w:line="640" w:lineRule="exact"/>
        <w:ind w:left="0" w:right="0" w:firstLine="0"/>
        <w:jc w:val="center"/>
        <w:textAlignment w:val="auto"/>
        <w:rPr>
          <w:rFonts w:hint="eastAsia" w:ascii="方正小标宋简体" w:hAnsi="宋体" w:eastAsia="方正小标宋简体" w:cs="宋体"/>
          <w:b w:val="0"/>
          <w:bCs/>
          <w:sz w:val="44"/>
          <w:szCs w:val="44"/>
        </w:rPr>
      </w:pPr>
      <w:r>
        <w:rPr>
          <w:rFonts w:ascii="方正小标宋简体" w:hAnsi="宋体" w:eastAsia="方正小标宋简体" w:cs="宋体"/>
          <w:b w:val="0"/>
          <w:bCs/>
          <w:sz w:val="44"/>
          <w:szCs w:val="44"/>
        </w:rPr>
        <w:t>迪庆</w:t>
      </w:r>
      <w:r>
        <w:rPr>
          <w:rFonts w:hint="eastAsia" w:ascii="方正小标宋简体" w:hAnsi="宋体" w:eastAsia="方正小标宋简体" w:cs="宋体"/>
          <w:b w:val="0"/>
          <w:bCs/>
          <w:sz w:val="44"/>
          <w:szCs w:val="44"/>
        </w:rPr>
        <w:t>藏族自治</w:t>
      </w:r>
      <w:r>
        <w:rPr>
          <w:rFonts w:ascii="方正小标宋简体" w:hAnsi="宋体" w:eastAsia="方正小标宋简体" w:cs="宋体"/>
          <w:b w:val="0"/>
          <w:bCs/>
          <w:sz w:val="44"/>
          <w:szCs w:val="44"/>
        </w:rPr>
        <w:t>州</w:t>
      </w:r>
      <w:r>
        <w:rPr>
          <w:rFonts w:hint="eastAsia" w:ascii="方正小标宋简体" w:hAnsi="宋体" w:eastAsia="方正小标宋简体" w:cs="宋体"/>
          <w:b w:val="0"/>
          <w:bCs/>
          <w:sz w:val="44"/>
          <w:szCs w:val="44"/>
        </w:rPr>
        <w:t>生态环境</w:t>
      </w:r>
      <w:r>
        <w:rPr>
          <w:rFonts w:ascii="方正小标宋简体" w:hAnsi="宋体" w:eastAsia="方正小标宋简体" w:cs="宋体"/>
          <w:b w:val="0"/>
          <w:bCs/>
          <w:sz w:val="44"/>
          <w:szCs w:val="44"/>
        </w:rPr>
        <w:t>局关</w:t>
      </w:r>
      <w:r>
        <w:rPr>
          <w:rFonts w:hint="eastAsia" w:ascii="方正小标宋简体" w:hAnsi="宋体" w:eastAsia="方正小标宋简体" w:cs="宋体"/>
          <w:b w:val="0"/>
          <w:bCs/>
          <w:sz w:val="44"/>
          <w:szCs w:val="44"/>
        </w:rPr>
        <w:t>于《</w:t>
      </w:r>
      <w:bookmarkStart w:id="0" w:name="OLE_LINK3"/>
      <w:r>
        <w:rPr>
          <w:rFonts w:hint="eastAsia" w:ascii="方正小标宋简体" w:hAnsi="宋体" w:eastAsia="方正小标宋简体" w:cs="宋体"/>
          <w:b w:val="0"/>
          <w:bCs/>
          <w:sz w:val="44"/>
          <w:szCs w:val="44"/>
          <w:lang w:eastAsia="zh-CN"/>
        </w:rPr>
        <w:t>迪庆藏族自治州德钦县珠巴洛河流域环境综合整治项目</w:t>
      </w:r>
      <w:r>
        <w:rPr>
          <w:rFonts w:hint="eastAsia" w:ascii="方正小标宋简体" w:hAnsi="宋体" w:eastAsia="方正小标宋简体" w:cs="宋体"/>
          <w:b w:val="0"/>
          <w:bCs/>
          <w:sz w:val="44"/>
          <w:szCs w:val="44"/>
        </w:rPr>
        <w:t>环境影响报告</w:t>
      </w:r>
      <w:r>
        <w:rPr>
          <w:rFonts w:hint="eastAsia" w:ascii="方正小标宋简体" w:hAnsi="宋体" w:eastAsia="方正小标宋简体" w:cs="宋体"/>
          <w:b w:val="0"/>
          <w:bCs/>
          <w:sz w:val="44"/>
          <w:szCs w:val="44"/>
          <w:lang w:val="en-US" w:eastAsia="zh-CN"/>
        </w:rPr>
        <w:t>表</w:t>
      </w:r>
      <w:r>
        <w:rPr>
          <w:rFonts w:hint="eastAsia" w:ascii="方正小标宋简体" w:hAnsi="宋体" w:eastAsia="方正小标宋简体" w:cs="宋体"/>
          <w:b w:val="0"/>
          <w:bCs/>
          <w:sz w:val="44"/>
          <w:szCs w:val="44"/>
        </w:rPr>
        <w:t>》</w:t>
      </w:r>
      <w:bookmarkEnd w:id="0"/>
      <w:r>
        <w:rPr>
          <w:rFonts w:hint="eastAsia" w:ascii="方正小标宋简体" w:hAnsi="宋体" w:eastAsia="方正小标宋简体" w:cs="宋体"/>
          <w:b w:val="0"/>
          <w:bCs/>
          <w:sz w:val="44"/>
          <w:szCs w:val="44"/>
        </w:rPr>
        <w:t>的批复</w:t>
      </w:r>
    </w:p>
    <w:p>
      <w:pPr>
        <w:rPr>
          <w:rFonts w:hint="eastAsia"/>
        </w:rPr>
      </w:pP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迪庆藏族自治州生态环境局德钦分局</w:t>
      </w:r>
      <w:r>
        <w:rPr>
          <w:rFonts w:hint="eastAsia" w:ascii="仿宋" w:hAnsi="仿宋" w:eastAsia="仿宋" w:cs="仿宋"/>
          <w:sz w:val="32"/>
          <w:szCs w:val="32"/>
        </w:rPr>
        <w:t>：</w:t>
      </w:r>
    </w:p>
    <w:p>
      <w:pPr>
        <w:jc w:val="both"/>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 xml:space="preserve">    你单位委托迪庆山水环保科技有限公司编制的《迪庆藏族自治州德钦县珠巴洛河流域环境综合整治项目环境影响报告表（报批稿）》（以下简称《报告表》）和《关于迪庆藏族自治州德钦县珠巴洛河流域环境综合整治项目环境影响报告表给予环评批复的请示》（德环发〔2020〕63号）文件我局已收悉，经研究，现批复如下：</w:t>
      </w:r>
    </w:p>
    <w:p>
      <w:pPr>
        <w:keepNext w:val="0"/>
        <w:keepLines w:val="0"/>
        <w:pageBreakBefore w:val="0"/>
        <w:numPr>
          <w:ilvl w:val="0"/>
          <w:numId w:val="1"/>
        </w:numPr>
        <w:kinsoku/>
        <w:wordWrap/>
        <w:overflowPunct/>
        <w:topLinePunct w:val="0"/>
        <w:autoSpaceDE/>
        <w:autoSpaceDN/>
        <w:bidi w:val="0"/>
        <w:adjustRightInd/>
        <w:snapToGrid/>
        <w:spacing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项目基本情况</w:t>
      </w:r>
    </w:p>
    <w:p>
      <w:pPr>
        <w:pStyle w:val="18"/>
        <w:keepNext w:val="0"/>
        <w:keepLines w:val="0"/>
        <w:pageBreakBefore w:val="0"/>
        <w:kinsoku/>
        <w:wordWrap/>
        <w:overflowPunct/>
        <w:topLinePunct w:val="0"/>
        <w:bidi w:val="0"/>
        <w:spacing w:line="560" w:lineRule="exact"/>
        <w:ind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sz w:val="32"/>
          <w:szCs w:val="32"/>
          <w:lang w:val="en-US" w:eastAsia="zh-CN"/>
        </w:rPr>
        <w:t>项目建设地点位于德钦县拖顶乡、霞若乡，项目代码：2020-533422-77-01-037490。</w:t>
      </w:r>
      <w:r>
        <w:rPr>
          <w:rFonts w:hint="eastAsia" w:ascii="仿宋" w:hAnsi="仿宋" w:eastAsia="仿宋" w:cs="仿宋"/>
          <w:b w:val="0"/>
          <w:kern w:val="2"/>
          <w:sz w:val="32"/>
          <w:szCs w:val="32"/>
          <w:lang w:val="en-US" w:eastAsia="zh-CN" w:bidi="ar-SA"/>
        </w:rPr>
        <w:t>新建农村污水处理站8座，改建德钦县第三小学污水处理站1座，处理规模共计545m</w:t>
      </w:r>
      <w:r>
        <w:rPr>
          <w:rFonts w:hint="eastAsia" w:ascii="仿宋" w:hAnsi="仿宋" w:eastAsia="仿宋" w:cs="仿宋"/>
          <w:b w:val="0"/>
          <w:kern w:val="2"/>
          <w:sz w:val="32"/>
          <w:szCs w:val="32"/>
          <w:vertAlign w:val="superscript"/>
          <w:lang w:val="en-US" w:eastAsia="zh-CN" w:bidi="ar-SA"/>
        </w:rPr>
        <w:t>3</w:t>
      </w:r>
      <w:r>
        <w:rPr>
          <w:rFonts w:hint="eastAsia" w:ascii="仿宋" w:hAnsi="仿宋" w:eastAsia="仿宋" w:cs="仿宋"/>
          <w:b w:val="0"/>
          <w:kern w:val="2"/>
          <w:sz w:val="32"/>
          <w:szCs w:val="32"/>
          <w:lang w:val="en-US" w:eastAsia="zh-CN" w:bidi="ar-SA"/>
        </w:rPr>
        <w:t>/d。新建污水收集管网11806m；入户污水收集设施115套；中水回用管网3500m。</w:t>
      </w:r>
      <w:r>
        <w:rPr>
          <w:rFonts w:hint="eastAsia" w:ascii="仿宋" w:hAnsi="仿宋" w:eastAsia="仿宋" w:cs="仿宋"/>
          <w:sz w:val="32"/>
          <w:szCs w:val="32"/>
          <w:lang w:eastAsia="zh-CN"/>
        </w:rPr>
        <w:t>项目总</w:t>
      </w:r>
      <w:r>
        <w:rPr>
          <w:rFonts w:hint="eastAsia" w:ascii="仿宋" w:hAnsi="仿宋" w:eastAsia="仿宋" w:cs="仿宋"/>
          <w:sz w:val="32"/>
          <w:szCs w:val="32"/>
        </w:rPr>
        <w:t>投资</w:t>
      </w:r>
      <w:r>
        <w:rPr>
          <w:rFonts w:hint="eastAsia" w:ascii="仿宋" w:hAnsi="仿宋" w:eastAsia="仿宋" w:cs="仿宋"/>
          <w:sz w:val="32"/>
          <w:szCs w:val="32"/>
          <w:lang w:val="en-US" w:eastAsia="zh-CN"/>
        </w:rPr>
        <w:t>2080.71</w:t>
      </w:r>
      <w:r>
        <w:rPr>
          <w:rFonts w:hint="eastAsia" w:ascii="仿宋" w:hAnsi="仿宋" w:eastAsia="仿宋" w:cs="仿宋"/>
          <w:sz w:val="32"/>
          <w:szCs w:val="32"/>
        </w:rPr>
        <w:t>万元，</w:t>
      </w:r>
      <w:r>
        <w:rPr>
          <w:rFonts w:hint="eastAsia" w:ascii="仿宋" w:hAnsi="仿宋" w:eastAsia="仿宋" w:cs="仿宋"/>
          <w:sz w:val="32"/>
          <w:szCs w:val="32"/>
          <w:lang w:eastAsia="zh-CN"/>
        </w:rPr>
        <w:t>其中环保投资</w:t>
      </w:r>
      <w:r>
        <w:rPr>
          <w:rFonts w:hint="eastAsia" w:ascii="仿宋" w:hAnsi="仿宋" w:eastAsia="仿宋" w:cs="仿宋"/>
          <w:sz w:val="32"/>
          <w:szCs w:val="32"/>
          <w:lang w:val="en-US" w:eastAsia="zh-CN"/>
        </w:rPr>
        <w:t>46.1</w:t>
      </w:r>
      <w:r>
        <w:rPr>
          <w:rFonts w:hint="eastAsia" w:ascii="仿宋" w:hAnsi="仿宋" w:eastAsia="仿宋" w:cs="仿宋"/>
          <w:sz w:val="32"/>
          <w:szCs w:val="32"/>
        </w:rPr>
        <w:t>万元</w:t>
      </w:r>
      <w:r>
        <w:rPr>
          <w:rFonts w:hint="eastAsia" w:ascii="仿宋" w:hAnsi="仿宋" w:eastAsia="仿宋" w:cs="仿宋"/>
          <w:sz w:val="32"/>
          <w:szCs w:val="32"/>
          <w:lang w:eastAsia="zh-CN"/>
        </w:rPr>
        <w:t>，占项目总投资的</w:t>
      </w:r>
      <w:r>
        <w:rPr>
          <w:rFonts w:hint="eastAsia" w:ascii="仿宋" w:hAnsi="仿宋" w:eastAsia="仿宋" w:cs="仿宋"/>
          <w:sz w:val="32"/>
          <w:szCs w:val="32"/>
          <w:lang w:val="en-US" w:eastAsia="zh-CN"/>
        </w:rPr>
        <w:t>2.22%。</w:t>
      </w:r>
    </w:p>
    <w:p>
      <w:pPr>
        <w:keepNext w:val="0"/>
        <w:keepLines w:val="0"/>
        <w:pageBreakBefore w:val="0"/>
        <w:widowControl w:val="0"/>
        <w:kinsoku/>
        <w:wordWrap/>
        <w:overflowPunct/>
        <w:topLinePunct w:val="0"/>
        <w:autoSpaceDE/>
        <w:autoSpaceDN/>
        <w:bidi w:val="0"/>
        <w:adjustRightInd w:val="0"/>
        <w:snapToGrid w:val="0"/>
        <w:spacing w:before="60" w:after="60" w:line="56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德钦县发展和改革局、德钦县住房和城乡建设局以</w:t>
      </w:r>
      <w:r>
        <w:rPr>
          <w:rFonts w:hint="eastAsia" w:ascii="仿宋" w:hAnsi="仿宋" w:eastAsia="仿宋" w:cs="仿宋"/>
          <w:sz w:val="32"/>
          <w:szCs w:val="32"/>
          <w:lang w:eastAsia="zh-CN"/>
        </w:rPr>
        <w:t>德</w:t>
      </w:r>
      <w:r>
        <w:rPr>
          <w:rFonts w:hint="eastAsia" w:ascii="仿宋" w:hAnsi="仿宋" w:eastAsia="仿宋" w:cs="仿宋"/>
          <w:sz w:val="32"/>
          <w:szCs w:val="32"/>
        </w:rPr>
        <w:t>发改</w:t>
      </w:r>
      <w:r>
        <w:rPr>
          <w:rFonts w:hint="eastAsia" w:ascii="仿宋" w:hAnsi="仿宋" w:eastAsia="仿宋" w:cs="仿宋"/>
          <w:sz w:val="32"/>
          <w:szCs w:val="32"/>
          <w:lang w:eastAsia="zh-CN"/>
        </w:rPr>
        <w:t>复</w:t>
      </w:r>
      <w:r>
        <w:rPr>
          <w:rFonts w:hint="eastAsia" w:ascii="仿宋" w:hAnsi="仿宋" w:eastAsia="仿宋" w:cs="仿宋"/>
          <w:sz w:val="32"/>
          <w:szCs w:val="32"/>
        </w:rPr>
        <w:t>〔</w:t>
      </w:r>
      <w:r>
        <w:rPr>
          <w:rFonts w:hint="eastAsia" w:ascii="仿宋" w:hAnsi="仿宋" w:eastAsia="仿宋" w:cs="仿宋"/>
          <w:sz w:val="32"/>
          <w:szCs w:val="32"/>
          <w:lang w:val="en-US" w:eastAsia="zh-CN"/>
        </w:rPr>
        <w:t>2020</w:t>
      </w:r>
      <w:r>
        <w:rPr>
          <w:rFonts w:hint="eastAsia" w:ascii="仿宋" w:hAnsi="仿宋" w:eastAsia="仿宋" w:cs="仿宋"/>
          <w:sz w:val="32"/>
          <w:szCs w:val="32"/>
        </w:rPr>
        <w:t>〕</w:t>
      </w:r>
      <w:r>
        <w:rPr>
          <w:rFonts w:hint="eastAsia" w:ascii="仿宋" w:hAnsi="仿宋" w:eastAsia="仿宋" w:cs="仿宋"/>
          <w:sz w:val="32"/>
          <w:szCs w:val="32"/>
          <w:lang w:val="en-US" w:eastAsia="zh-CN"/>
        </w:rPr>
        <w:t>16</w:t>
      </w:r>
      <w:r>
        <w:rPr>
          <w:rFonts w:hint="eastAsia" w:ascii="仿宋" w:hAnsi="仿宋" w:eastAsia="仿宋" w:cs="仿宋"/>
          <w:sz w:val="32"/>
          <w:szCs w:val="32"/>
        </w:rPr>
        <w:t>号文对项目</w:t>
      </w:r>
      <w:r>
        <w:rPr>
          <w:rFonts w:hint="eastAsia" w:ascii="仿宋" w:hAnsi="仿宋" w:eastAsia="仿宋" w:cs="仿宋"/>
          <w:sz w:val="32"/>
          <w:szCs w:val="32"/>
          <w:lang w:eastAsia="zh-CN"/>
        </w:rPr>
        <w:t>实施方案</w:t>
      </w:r>
      <w:r>
        <w:rPr>
          <w:rFonts w:hint="eastAsia" w:ascii="仿宋" w:hAnsi="仿宋" w:eastAsia="仿宋" w:cs="仿宋"/>
          <w:sz w:val="32"/>
          <w:szCs w:val="32"/>
        </w:rPr>
        <w:t>进行了批复</w:t>
      </w:r>
      <w:r>
        <w:rPr>
          <w:rFonts w:hint="eastAsia" w:ascii="仿宋" w:hAnsi="仿宋" w:eastAsia="仿宋" w:cs="仿宋"/>
          <w:sz w:val="32"/>
          <w:szCs w:val="32"/>
          <w:lang w:eastAsia="zh-CN"/>
        </w:rPr>
        <w:t>。</w:t>
      </w:r>
      <w:r>
        <w:rPr>
          <w:rFonts w:hint="eastAsia" w:ascii="仿宋" w:hAnsi="仿宋" w:eastAsia="仿宋" w:cs="仿宋"/>
          <w:sz w:val="32"/>
          <w:szCs w:val="32"/>
        </w:rPr>
        <w:t>在全面落实《报告表》提出的各项生态保护措施后，项目建设和运营的不良环境影响可以得到减缓和控制。我</w:t>
      </w:r>
      <w:r>
        <w:rPr>
          <w:rFonts w:hint="eastAsia" w:ascii="仿宋" w:hAnsi="仿宋" w:eastAsia="仿宋" w:cs="仿宋"/>
          <w:sz w:val="32"/>
          <w:szCs w:val="32"/>
          <w:lang w:eastAsia="zh-CN"/>
        </w:rPr>
        <w:t>局</w:t>
      </w:r>
      <w:r>
        <w:rPr>
          <w:rFonts w:hint="eastAsia" w:ascii="仿宋" w:hAnsi="仿宋" w:eastAsia="仿宋" w:cs="仿宋"/>
          <w:sz w:val="32"/>
          <w:szCs w:val="32"/>
        </w:rPr>
        <w:t>同意《报告表》中所列建设项目的性质、规模、地点</w:t>
      </w:r>
      <w:r>
        <w:rPr>
          <w:rFonts w:hint="eastAsia" w:ascii="仿宋" w:hAnsi="仿宋" w:eastAsia="仿宋" w:cs="仿宋"/>
          <w:sz w:val="32"/>
          <w:szCs w:val="32"/>
          <w:lang w:eastAsia="zh-CN"/>
        </w:rPr>
        <w:t>、工艺</w:t>
      </w:r>
      <w:r>
        <w:rPr>
          <w:rFonts w:hint="eastAsia" w:ascii="仿宋" w:hAnsi="仿宋" w:eastAsia="仿宋" w:cs="仿宋"/>
          <w:sz w:val="32"/>
          <w:szCs w:val="32"/>
        </w:rPr>
        <w:t>和拟采取的环境保护对策措施。</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sz w:val="32"/>
          <w:szCs w:val="32"/>
        </w:rPr>
        <w:t>二、项目建设和运营过程中应重点做好的工作</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kern w:val="2"/>
          <w:sz w:val="32"/>
          <w:szCs w:val="32"/>
          <w:lang w:eastAsia="zh-CN"/>
        </w:rPr>
        <w:t>（一）污水处理站</w:t>
      </w:r>
      <w:r>
        <w:rPr>
          <w:rFonts w:hint="eastAsia" w:ascii="仿宋" w:hAnsi="仿宋" w:eastAsia="仿宋" w:cs="仿宋"/>
          <w:kern w:val="2"/>
          <w:sz w:val="32"/>
          <w:szCs w:val="32"/>
        </w:rPr>
        <w:t>在设计</w:t>
      </w:r>
      <w:r>
        <w:rPr>
          <w:rFonts w:hint="eastAsia" w:ascii="仿宋" w:hAnsi="仿宋" w:eastAsia="仿宋" w:cs="仿宋"/>
          <w:kern w:val="2"/>
          <w:sz w:val="32"/>
          <w:szCs w:val="32"/>
          <w:lang w:eastAsia="zh-CN"/>
        </w:rPr>
        <w:t>时要充分考虑迪庆高原</w:t>
      </w:r>
      <w:r>
        <w:rPr>
          <w:rFonts w:hint="eastAsia" w:ascii="仿宋" w:hAnsi="仿宋" w:eastAsia="仿宋" w:cs="仿宋"/>
          <w:sz w:val="32"/>
          <w:szCs w:val="32"/>
          <w:lang w:eastAsia="zh-CN"/>
        </w:rPr>
        <w:t>实际，进一步优化方案，按照村落排污现状，科学规范设计，合理布局</w:t>
      </w:r>
      <w:r>
        <w:rPr>
          <w:rFonts w:hint="eastAsia" w:ascii="仿宋" w:hAnsi="仿宋" w:eastAsia="仿宋" w:cs="仿宋"/>
          <w:color w:val="auto"/>
          <w:sz w:val="32"/>
          <w:szCs w:val="32"/>
          <w:lang w:eastAsia="zh-CN"/>
        </w:rPr>
        <w:t>。污水处理站排水参照执行《农村生活污水处理设施水污染物排放标准（云南省地方标准）》（DB53T/953-2019）表1中一级B标准。</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color w:val="auto"/>
          <w:sz w:val="32"/>
          <w:szCs w:val="32"/>
          <w:lang w:eastAsia="zh-CN"/>
        </w:rPr>
        <w:t>（二）</w:t>
      </w:r>
      <w:r>
        <w:rPr>
          <w:rFonts w:hint="eastAsia" w:ascii="仿宋" w:hAnsi="仿宋" w:eastAsia="仿宋" w:cs="仿宋"/>
          <w:sz w:val="32"/>
          <w:szCs w:val="32"/>
        </w:rPr>
        <w:t>加强危险废物管理和污泥处置，按照相关规定规范处置污泥，做好</w:t>
      </w:r>
      <w:r>
        <w:rPr>
          <w:rFonts w:hint="eastAsia" w:ascii="仿宋" w:hAnsi="仿宋" w:eastAsia="仿宋" w:cs="仿宋"/>
          <w:sz w:val="32"/>
          <w:szCs w:val="32"/>
          <w:lang w:val="en-US" w:eastAsia="zh-CN"/>
        </w:rPr>
        <w:t>产生的废机油、废紫外灯管等</w:t>
      </w:r>
      <w:r>
        <w:rPr>
          <w:rFonts w:hint="eastAsia" w:ascii="仿宋" w:hAnsi="仿宋" w:eastAsia="仿宋" w:cs="仿宋"/>
          <w:sz w:val="32"/>
          <w:szCs w:val="32"/>
        </w:rPr>
        <w:t>危险废物的收集、暂存、转移运输和处置</w:t>
      </w:r>
      <w:r>
        <w:rPr>
          <w:rFonts w:hint="eastAsia" w:ascii="仿宋" w:hAnsi="仿宋" w:eastAsia="仿宋" w:cs="仿宋"/>
          <w:sz w:val="32"/>
          <w:szCs w:val="32"/>
          <w:lang w:eastAsia="zh-CN"/>
        </w:rPr>
        <w:t>，并建立相关台账</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加强施工期管理</w:t>
      </w:r>
      <w:r>
        <w:rPr>
          <w:rFonts w:hint="eastAsia" w:ascii="仿宋" w:hAnsi="仿宋" w:eastAsia="仿宋" w:cs="仿宋"/>
          <w:sz w:val="32"/>
          <w:szCs w:val="32"/>
          <w:lang w:eastAsia="zh-CN"/>
        </w:rPr>
        <w:t>。作业区设置防护围栏，设置警示标识标牌，施工结束后及时清理整洁现场，施工废水沉淀处理后回用于洒水降尘，不得外排。废土石尽可能做到挖填方平衡，无法回用完的，要规范合理设置弃土场，并作好覆土绿化。</w:t>
      </w:r>
      <w:r>
        <w:rPr>
          <w:rFonts w:hint="eastAsia" w:ascii="仿宋" w:hAnsi="仿宋" w:eastAsia="仿宋" w:cs="仿宋"/>
          <w:sz w:val="32"/>
          <w:szCs w:val="32"/>
        </w:rPr>
        <w:t>埋管线的路面开挖、原材料运输及装卸以及废弃土石方的运输等环节，需要</w:t>
      </w:r>
      <w:r>
        <w:rPr>
          <w:rFonts w:hint="eastAsia" w:ascii="仿宋" w:hAnsi="仿宋" w:eastAsia="仿宋" w:cs="仿宋"/>
          <w:sz w:val="32"/>
          <w:szCs w:val="32"/>
          <w:lang w:eastAsia="zh-CN"/>
        </w:rPr>
        <w:t>做好</w:t>
      </w:r>
      <w:r>
        <w:rPr>
          <w:rFonts w:hint="eastAsia" w:ascii="仿宋" w:hAnsi="仿宋" w:eastAsia="仿宋" w:cs="仿宋"/>
          <w:sz w:val="32"/>
          <w:szCs w:val="32"/>
        </w:rPr>
        <w:t>防溢漏</w:t>
      </w:r>
      <w:r>
        <w:rPr>
          <w:rFonts w:hint="eastAsia" w:ascii="仿宋" w:hAnsi="仿宋" w:eastAsia="仿宋" w:cs="仿宋"/>
          <w:sz w:val="32"/>
          <w:szCs w:val="32"/>
          <w:lang w:eastAsia="zh-CN"/>
        </w:rPr>
        <w:t>及降尘措施</w:t>
      </w:r>
      <w:r>
        <w:rPr>
          <w:rFonts w:hint="eastAsia" w:ascii="仿宋" w:hAnsi="仿宋" w:eastAsia="仿宋" w:cs="仿宋"/>
          <w:sz w:val="32"/>
          <w:szCs w:val="32"/>
        </w:rPr>
        <w:t>。</w:t>
      </w:r>
      <w:r>
        <w:rPr>
          <w:rFonts w:hint="eastAsia" w:ascii="仿宋" w:hAnsi="仿宋" w:eastAsia="仿宋" w:cs="仿宋"/>
          <w:sz w:val="32"/>
          <w:szCs w:val="32"/>
          <w:lang w:eastAsia="zh-CN"/>
        </w:rPr>
        <w:t>生活垃圾统一规范收集后到乡镇村处置场所统一规范安全处置。</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sz w:val="32"/>
          <w:szCs w:val="32"/>
          <w:lang w:eastAsia="zh-CN"/>
        </w:rPr>
        <w:t>污水处理站均为地埋式，施工结束后及时进行植被恢复，加强人工湿地管理，加强周边绿化</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做好噪声污染防治工作，合理安排施工时间，采用低噪声施工设备，确保施工噪声达到《建筑施工场界环境噪声排放标准》（GB12523-2011）规定的限值，</w:t>
      </w:r>
      <w:r>
        <w:rPr>
          <w:rFonts w:hint="eastAsia" w:ascii="仿宋" w:hAnsi="仿宋" w:eastAsia="仿宋" w:cs="仿宋"/>
          <w:sz w:val="32"/>
          <w:szCs w:val="32"/>
          <w:lang w:eastAsia="zh-CN"/>
        </w:rPr>
        <w:t>进出入村庄禁止鸣笛。</w:t>
      </w:r>
      <w:r>
        <w:rPr>
          <w:rFonts w:hint="eastAsia" w:ascii="仿宋" w:hAnsi="仿宋" w:eastAsia="仿宋" w:cs="仿宋"/>
          <w:sz w:val="32"/>
          <w:szCs w:val="32"/>
        </w:rPr>
        <w:t>禁止在夜间22：00～6:00施工作业，若不可避免施工时，需提</w:t>
      </w:r>
      <w:r>
        <w:rPr>
          <w:rFonts w:hint="eastAsia" w:ascii="仿宋" w:hAnsi="仿宋" w:eastAsia="仿宋" w:cs="仿宋"/>
          <w:sz w:val="32"/>
          <w:szCs w:val="32"/>
          <w:lang w:eastAsia="zh-CN"/>
        </w:rPr>
        <w:t>前</w:t>
      </w:r>
      <w:r>
        <w:rPr>
          <w:rFonts w:hint="eastAsia" w:ascii="仿宋" w:hAnsi="仿宋" w:eastAsia="仿宋" w:cs="仿宋"/>
          <w:sz w:val="32"/>
          <w:szCs w:val="32"/>
        </w:rPr>
        <w:t>提出申请，并在受影响区域张贴公告协调处理相关事宜</w:t>
      </w:r>
      <w:r>
        <w:rPr>
          <w:rFonts w:hint="eastAsia" w:ascii="仿宋" w:hAnsi="仿宋" w:eastAsia="仿宋" w:cs="仿宋"/>
          <w:sz w:val="32"/>
          <w:szCs w:val="32"/>
          <w:lang w:eastAsia="zh-CN"/>
        </w:rPr>
        <w:t>，同时加强与村民的沟通协调力度，保持良好的社会和谐关系。</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建立健全管理制度，专人负责维护管理，保障运维经费，充分发挥污水处理站效能，在正式投入运营前办理排污许可证。</w:t>
      </w:r>
      <w:r>
        <w:rPr>
          <w:rFonts w:hint="eastAsia" w:ascii="仿宋" w:hAnsi="仿宋" w:eastAsia="仿宋" w:cs="仿宋"/>
          <w:sz w:val="32"/>
          <w:szCs w:val="32"/>
        </w:rPr>
        <w:t>项目运营过程中，</w:t>
      </w:r>
      <w:r>
        <w:rPr>
          <w:rFonts w:hint="eastAsia" w:ascii="仿宋" w:hAnsi="仿宋" w:eastAsia="仿宋" w:cs="仿宋"/>
          <w:sz w:val="32"/>
          <w:szCs w:val="32"/>
          <w:lang w:eastAsia="zh-CN"/>
        </w:rPr>
        <w:t>加大</w:t>
      </w:r>
      <w:r>
        <w:rPr>
          <w:rFonts w:hint="eastAsia" w:ascii="仿宋" w:hAnsi="仿宋" w:eastAsia="仿宋" w:cs="仿宋"/>
          <w:sz w:val="32"/>
          <w:szCs w:val="32"/>
        </w:rPr>
        <w:t>对污水</w:t>
      </w:r>
      <w:r>
        <w:rPr>
          <w:rFonts w:hint="eastAsia" w:ascii="仿宋" w:hAnsi="仿宋" w:eastAsia="仿宋" w:cs="仿宋"/>
          <w:sz w:val="32"/>
          <w:szCs w:val="32"/>
          <w:lang w:val="en-US" w:eastAsia="zh-CN"/>
        </w:rPr>
        <w:t>管网</w:t>
      </w:r>
      <w:r>
        <w:rPr>
          <w:rFonts w:hint="eastAsia" w:ascii="仿宋" w:hAnsi="仿宋" w:eastAsia="仿宋" w:cs="仿宋"/>
          <w:sz w:val="32"/>
          <w:szCs w:val="32"/>
          <w:lang w:eastAsia="zh-CN"/>
        </w:rPr>
        <w:t>的</w:t>
      </w:r>
      <w:r>
        <w:rPr>
          <w:rFonts w:hint="eastAsia" w:ascii="仿宋" w:hAnsi="仿宋" w:eastAsia="仿宋" w:cs="仿宋"/>
          <w:sz w:val="32"/>
          <w:szCs w:val="32"/>
        </w:rPr>
        <w:t>疏通和清理</w:t>
      </w:r>
      <w:r>
        <w:rPr>
          <w:rFonts w:hint="eastAsia" w:ascii="仿宋" w:hAnsi="仿宋" w:eastAsia="仿宋" w:cs="仿宋"/>
          <w:sz w:val="32"/>
          <w:szCs w:val="32"/>
          <w:lang w:eastAsia="zh-CN"/>
        </w:rPr>
        <w:t>工作，维护好设施，保障其正常运行。</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）建立安全生产应急救援机制，完善应急</w:t>
      </w:r>
      <w:r>
        <w:rPr>
          <w:rFonts w:hint="eastAsia" w:ascii="仿宋" w:hAnsi="仿宋" w:eastAsia="仿宋" w:cs="仿宋"/>
          <w:sz w:val="32"/>
          <w:szCs w:val="32"/>
          <w:lang w:eastAsia="zh-CN"/>
        </w:rPr>
        <w:t>处置</w:t>
      </w:r>
      <w:r>
        <w:rPr>
          <w:rFonts w:hint="eastAsia" w:ascii="仿宋" w:hAnsi="仿宋" w:eastAsia="仿宋" w:cs="仿宋"/>
          <w:sz w:val="32"/>
          <w:szCs w:val="32"/>
        </w:rPr>
        <w:t>预案，配备必要的</w:t>
      </w:r>
      <w:r>
        <w:rPr>
          <w:rFonts w:hint="eastAsia" w:ascii="仿宋" w:hAnsi="仿宋" w:eastAsia="仿宋" w:cs="仿宋"/>
          <w:sz w:val="32"/>
          <w:szCs w:val="32"/>
          <w:lang w:eastAsia="zh-CN"/>
        </w:rPr>
        <w:t>处置</w:t>
      </w:r>
      <w:r>
        <w:rPr>
          <w:rFonts w:hint="eastAsia" w:ascii="仿宋" w:hAnsi="仿宋" w:eastAsia="仿宋" w:cs="仿宋"/>
          <w:sz w:val="32"/>
          <w:szCs w:val="32"/>
        </w:rPr>
        <w:t>救援装备，提高突发事故的抢险救援能力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w:t>
      </w:r>
      <w:r>
        <w:rPr>
          <w:rFonts w:hint="eastAsia" w:ascii="仿宋" w:hAnsi="仿宋" w:eastAsia="仿宋" w:cs="仿宋"/>
          <w:kern w:val="2"/>
          <w:sz w:val="32"/>
          <w:szCs w:val="32"/>
          <w:lang w:val="en-US" w:eastAsia="zh-CN" w:bidi="ar-SA"/>
        </w:rPr>
        <w:t>做好景观和生态环境保护。协调处理与自然、传统文化和民风民俗等相协调的景观效果，使用生态环保型材料，保护好沿线树木花草，加大沿线绿化美化，绿化和人工湿地尽可能使用本地物种。</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、项目若发生重大变动，须</w:t>
      </w:r>
      <w:r>
        <w:rPr>
          <w:rFonts w:hint="eastAsia" w:ascii="仿宋" w:hAnsi="仿宋" w:eastAsia="仿宋" w:cs="仿宋"/>
          <w:sz w:val="32"/>
          <w:szCs w:val="32"/>
          <w:lang w:eastAsia="zh-CN"/>
        </w:rPr>
        <w:t>向原审批部门进行</w:t>
      </w:r>
      <w:r>
        <w:rPr>
          <w:rFonts w:hint="eastAsia" w:ascii="仿宋" w:hAnsi="仿宋" w:eastAsia="仿宋" w:cs="仿宋"/>
          <w:sz w:val="32"/>
          <w:szCs w:val="32"/>
        </w:rPr>
        <w:t>环境影响评价</w:t>
      </w:r>
      <w:r>
        <w:rPr>
          <w:rFonts w:hint="eastAsia" w:ascii="仿宋" w:hAnsi="仿宋" w:eastAsia="仿宋" w:cs="仿宋"/>
          <w:sz w:val="32"/>
          <w:szCs w:val="32"/>
          <w:lang w:eastAsia="zh-CN"/>
        </w:rPr>
        <w:t>文件</w:t>
      </w:r>
      <w:r>
        <w:rPr>
          <w:rFonts w:hint="eastAsia" w:ascii="仿宋" w:hAnsi="仿宋" w:eastAsia="仿宋" w:cs="仿宋"/>
          <w:sz w:val="32"/>
          <w:szCs w:val="32"/>
        </w:rPr>
        <w:t>重新报批。建设项目环境影响评价文件自批准之日起超过五年方决定该项目开工建设的，其环境影响评价文件应当报我</w:t>
      </w:r>
      <w:r>
        <w:rPr>
          <w:rFonts w:hint="eastAsia" w:ascii="仿宋" w:hAnsi="仿宋" w:eastAsia="仿宋" w:cs="仿宋"/>
          <w:sz w:val="32"/>
          <w:szCs w:val="32"/>
          <w:lang w:eastAsia="zh-CN"/>
        </w:rPr>
        <w:t>局</w:t>
      </w:r>
      <w:r>
        <w:rPr>
          <w:rFonts w:hint="eastAsia" w:ascii="仿宋" w:hAnsi="仿宋" w:eastAsia="仿宋" w:cs="仿宋"/>
          <w:sz w:val="32"/>
          <w:szCs w:val="32"/>
        </w:rPr>
        <w:t>重新审核</w:t>
      </w:r>
      <w:r>
        <w:rPr>
          <w:rFonts w:hint="eastAsia" w:ascii="仿宋" w:hAnsi="仿宋" w:eastAsia="仿宋" w:cs="仿宋"/>
          <w:sz w:val="32"/>
          <w:szCs w:val="32"/>
          <w:lang w:eastAsia="zh-CN"/>
        </w:rPr>
        <w:t>审批。</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、严格</w:t>
      </w:r>
      <w:r>
        <w:rPr>
          <w:rFonts w:hint="eastAsia" w:ascii="仿宋" w:hAnsi="仿宋" w:eastAsia="仿宋" w:cs="仿宋"/>
          <w:sz w:val="32"/>
          <w:szCs w:val="32"/>
          <w:lang w:eastAsia="zh-CN"/>
        </w:rPr>
        <w:t>落实</w:t>
      </w:r>
      <w:r>
        <w:rPr>
          <w:rFonts w:hint="eastAsia" w:ascii="仿宋" w:hAnsi="仿宋" w:eastAsia="仿宋" w:cs="仿宋"/>
          <w:sz w:val="32"/>
          <w:szCs w:val="32"/>
        </w:rPr>
        <w:t>环保“三同时”制度。项目建成投入试运行后，及时按规定自行组织开展竣工环境保护验收</w:t>
      </w:r>
      <w:r>
        <w:rPr>
          <w:rFonts w:hint="eastAsia" w:ascii="仿宋" w:hAnsi="仿宋" w:eastAsia="仿宋" w:cs="仿宋"/>
          <w:sz w:val="32"/>
          <w:szCs w:val="32"/>
          <w:lang w:eastAsia="zh-CN"/>
        </w:rPr>
        <w:t>，并在生态环境专网系统录入，同时向我局备案</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、请</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rPr>
        <w:t>负责组织该项目的环境执法现场监察和日常监督管理。</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其他未经说明事宜，严格按照</w:t>
      </w:r>
      <w:r>
        <w:rPr>
          <w:rFonts w:hint="eastAsia" w:ascii="仿宋" w:hAnsi="仿宋" w:eastAsia="仿宋" w:cs="仿宋"/>
          <w:sz w:val="32"/>
          <w:szCs w:val="32"/>
          <w:lang w:eastAsia="zh-CN"/>
        </w:rPr>
        <w:t>现行</w:t>
      </w:r>
      <w:r>
        <w:rPr>
          <w:rFonts w:hint="eastAsia" w:ascii="仿宋" w:hAnsi="仿宋" w:eastAsia="仿宋" w:cs="仿宋"/>
          <w:sz w:val="32"/>
          <w:szCs w:val="32"/>
        </w:rPr>
        <w:t>法律法规、规章制度及政策</w:t>
      </w:r>
      <w:r>
        <w:rPr>
          <w:rFonts w:hint="eastAsia" w:ascii="仿宋" w:hAnsi="仿宋" w:eastAsia="仿宋" w:cs="仿宋"/>
          <w:sz w:val="32"/>
          <w:szCs w:val="32"/>
          <w:lang w:eastAsia="zh-CN"/>
        </w:rPr>
        <w:t>和</w:t>
      </w:r>
      <w:r>
        <w:rPr>
          <w:rFonts w:hint="eastAsia" w:ascii="仿宋" w:hAnsi="仿宋" w:eastAsia="仿宋" w:cs="仿宋"/>
          <w:sz w:val="32"/>
          <w:szCs w:val="32"/>
        </w:rPr>
        <w:t>该报告表</w:t>
      </w:r>
      <w:r>
        <w:rPr>
          <w:rFonts w:hint="eastAsia" w:ascii="仿宋" w:hAnsi="仿宋" w:eastAsia="仿宋" w:cs="仿宋"/>
          <w:sz w:val="32"/>
          <w:szCs w:val="32"/>
          <w:lang w:eastAsia="zh-CN"/>
        </w:rPr>
        <w:t>有关</w:t>
      </w:r>
      <w:r>
        <w:rPr>
          <w:rFonts w:hint="eastAsia" w:ascii="仿宋" w:hAnsi="仿宋" w:eastAsia="仿宋" w:cs="仿宋"/>
          <w:sz w:val="32"/>
          <w:szCs w:val="32"/>
        </w:rPr>
        <w:t>要求办理。</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rPr>
      </w:pP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迪庆藏族自治州生态环境局</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p>
    <w:p>
      <w:pPr>
        <w:keepNext w:val="0"/>
        <w:keepLines w:val="0"/>
        <w:pageBreakBefore w:val="0"/>
        <w:kinsoku/>
        <w:wordWrap/>
        <w:overflowPunct/>
        <w:topLinePunct w:val="0"/>
        <w:autoSpaceDE w:val="0"/>
        <w:autoSpaceDN/>
        <w:bidi w:val="0"/>
        <w:adjustRightInd/>
        <w:spacing w:line="560" w:lineRule="exact"/>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（此件社会公开）</w:t>
      </w: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color w:val="auto"/>
          <w:sz w:val="32"/>
          <w:szCs w:val="32"/>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49493"/>
    <w:multiLevelType w:val="singleLevel"/>
    <w:tmpl w:val="5C74949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1F14B3"/>
    <w:rsid w:val="00225F0E"/>
    <w:rsid w:val="00273FB6"/>
    <w:rsid w:val="00356915"/>
    <w:rsid w:val="0039656F"/>
    <w:rsid w:val="00425F30"/>
    <w:rsid w:val="00436AAE"/>
    <w:rsid w:val="004B078E"/>
    <w:rsid w:val="00550571"/>
    <w:rsid w:val="00A50DFA"/>
    <w:rsid w:val="00E84E0E"/>
    <w:rsid w:val="00F32C25"/>
    <w:rsid w:val="0214475B"/>
    <w:rsid w:val="021A1726"/>
    <w:rsid w:val="022D5D68"/>
    <w:rsid w:val="02CF1417"/>
    <w:rsid w:val="03806E56"/>
    <w:rsid w:val="049D6239"/>
    <w:rsid w:val="05035918"/>
    <w:rsid w:val="05C07895"/>
    <w:rsid w:val="06C752ED"/>
    <w:rsid w:val="06E91576"/>
    <w:rsid w:val="06EA4CBF"/>
    <w:rsid w:val="07035109"/>
    <w:rsid w:val="07A72527"/>
    <w:rsid w:val="07FB6F13"/>
    <w:rsid w:val="085F0A07"/>
    <w:rsid w:val="086C65C4"/>
    <w:rsid w:val="08B97B75"/>
    <w:rsid w:val="09545216"/>
    <w:rsid w:val="09651B38"/>
    <w:rsid w:val="099C7309"/>
    <w:rsid w:val="0AAD4AC1"/>
    <w:rsid w:val="0ADF76D3"/>
    <w:rsid w:val="0B0C5801"/>
    <w:rsid w:val="0B7B5940"/>
    <w:rsid w:val="0B851366"/>
    <w:rsid w:val="0BA474B1"/>
    <w:rsid w:val="0C5B32E6"/>
    <w:rsid w:val="0DDD2383"/>
    <w:rsid w:val="0E124C6B"/>
    <w:rsid w:val="0E257376"/>
    <w:rsid w:val="0E412864"/>
    <w:rsid w:val="0EAE563B"/>
    <w:rsid w:val="0EE724F3"/>
    <w:rsid w:val="0F666292"/>
    <w:rsid w:val="0FD85A08"/>
    <w:rsid w:val="10142A33"/>
    <w:rsid w:val="10DD582A"/>
    <w:rsid w:val="111C202C"/>
    <w:rsid w:val="1147131C"/>
    <w:rsid w:val="119C6847"/>
    <w:rsid w:val="12455277"/>
    <w:rsid w:val="12A44B31"/>
    <w:rsid w:val="1300778A"/>
    <w:rsid w:val="130F50A4"/>
    <w:rsid w:val="1339736A"/>
    <w:rsid w:val="1395131B"/>
    <w:rsid w:val="1396622E"/>
    <w:rsid w:val="13CF413D"/>
    <w:rsid w:val="142F27C1"/>
    <w:rsid w:val="14BB0831"/>
    <w:rsid w:val="15990EEC"/>
    <w:rsid w:val="159B3BBC"/>
    <w:rsid w:val="16105C05"/>
    <w:rsid w:val="163F3F24"/>
    <w:rsid w:val="16F124D3"/>
    <w:rsid w:val="17370A02"/>
    <w:rsid w:val="181C19A1"/>
    <w:rsid w:val="185776E3"/>
    <w:rsid w:val="18B93374"/>
    <w:rsid w:val="19733A61"/>
    <w:rsid w:val="19796132"/>
    <w:rsid w:val="19B675A1"/>
    <w:rsid w:val="1A865B47"/>
    <w:rsid w:val="1AA02CD9"/>
    <w:rsid w:val="1B7D0290"/>
    <w:rsid w:val="1B9D7E7D"/>
    <w:rsid w:val="1BA5172A"/>
    <w:rsid w:val="1C124B27"/>
    <w:rsid w:val="1C2C35D6"/>
    <w:rsid w:val="1C3924BA"/>
    <w:rsid w:val="1C6477DA"/>
    <w:rsid w:val="1C9440C4"/>
    <w:rsid w:val="1CEB189B"/>
    <w:rsid w:val="1E051B06"/>
    <w:rsid w:val="1E066192"/>
    <w:rsid w:val="1E6A290F"/>
    <w:rsid w:val="1E6F248C"/>
    <w:rsid w:val="1E9446E8"/>
    <w:rsid w:val="1FF21A23"/>
    <w:rsid w:val="20094C3A"/>
    <w:rsid w:val="20EF1C06"/>
    <w:rsid w:val="21987E91"/>
    <w:rsid w:val="2268201F"/>
    <w:rsid w:val="2284620F"/>
    <w:rsid w:val="229A41EE"/>
    <w:rsid w:val="22D43BC0"/>
    <w:rsid w:val="23D5265E"/>
    <w:rsid w:val="243D6534"/>
    <w:rsid w:val="24535876"/>
    <w:rsid w:val="247457E9"/>
    <w:rsid w:val="249D0074"/>
    <w:rsid w:val="24CD6D50"/>
    <w:rsid w:val="254C5202"/>
    <w:rsid w:val="25CA6F9D"/>
    <w:rsid w:val="25EF6B3F"/>
    <w:rsid w:val="25F6326B"/>
    <w:rsid w:val="262051B6"/>
    <w:rsid w:val="265962C0"/>
    <w:rsid w:val="26841100"/>
    <w:rsid w:val="2719117D"/>
    <w:rsid w:val="27863C53"/>
    <w:rsid w:val="278A1F76"/>
    <w:rsid w:val="279C1AA9"/>
    <w:rsid w:val="28611F91"/>
    <w:rsid w:val="290437C3"/>
    <w:rsid w:val="297A6C1C"/>
    <w:rsid w:val="298644FE"/>
    <w:rsid w:val="2A627857"/>
    <w:rsid w:val="2A8840BD"/>
    <w:rsid w:val="2B221D29"/>
    <w:rsid w:val="2B385690"/>
    <w:rsid w:val="2B533600"/>
    <w:rsid w:val="2BA15002"/>
    <w:rsid w:val="2BDA7A47"/>
    <w:rsid w:val="2CAB059B"/>
    <w:rsid w:val="2D24411D"/>
    <w:rsid w:val="2D961419"/>
    <w:rsid w:val="2E0204B0"/>
    <w:rsid w:val="2E7A125A"/>
    <w:rsid w:val="2ED85621"/>
    <w:rsid w:val="2F0C6C2D"/>
    <w:rsid w:val="2F902381"/>
    <w:rsid w:val="2FD9372B"/>
    <w:rsid w:val="31933271"/>
    <w:rsid w:val="31A00710"/>
    <w:rsid w:val="31D529CC"/>
    <w:rsid w:val="32832C2C"/>
    <w:rsid w:val="329C4AF5"/>
    <w:rsid w:val="32AE6091"/>
    <w:rsid w:val="33AE2DBC"/>
    <w:rsid w:val="33F523EB"/>
    <w:rsid w:val="33FE50B6"/>
    <w:rsid w:val="34700DB6"/>
    <w:rsid w:val="3477563F"/>
    <w:rsid w:val="34B951C0"/>
    <w:rsid w:val="352B38E3"/>
    <w:rsid w:val="362D1A77"/>
    <w:rsid w:val="36F47EB2"/>
    <w:rsid w:val="37CF2842"/>
    <w:rsid w:val="38857C9F"/>
    <w:rsid w:val="39A177D1"/>
    <w:rsid w:val="39A27FDE"/>
    <w:rsid w:val="39B404CB"/>
    <w:rsid w:val="3A1B4E3E"/>
    <w:rsid w:val="3AE879B3"/>
    <w:rsid w:val="3B9357B1"/>
    <w:rsid w:val="3C4151F1"/>
    <w:rsid w:val="3C4B022B"/>
    <w:rsid w:val="3CD30394"/>
    <w:rsid w:val="3CE51298"/>
    <w:rsid w:val="3D517E35"/>
    <w:rsid w:val="3D822ACE"/>
    <w:rsid w:val="3E2F5EF0"/>
    <w:rsid w:val="3E8C59AE"/>
    <w:rsid w:val="3F4855B0"/>
    <w:rsid w:val="3F884A2F"/>
    <w:rsid w:val="3FA5568A"/>
    <w:rsid w:val="40356B5A"/>
    <w:rsid w:val="40E41598"/>
    <w:rsid w:val="418D51F5"/>
    <w:rsid w:val="420D4DCB"/>
    <w:rsid w:val="424563CF"/>
    <w:rsid w:val="43DE18E2"/>
    <w:rsid w:val="43F0749C"/>
    <w:rsid w:val="43FA7F08"/>
    <w:rsid w:val="44424911"/>
    <w:rsid w:val="45431DCE"/>
    <w:rsid w:val="45503DF0"/>
    <w:rsid w:val="45DD599C"/>
    <w:rsid w:val="46A10EBD"/>
    <w:rsid w:val="4744680E"/>
    <w:rsid w:val="474E72E8"/>
    <w:rsid w:val="48CE6BCF"/>
    <w:rsid w:val="49150F98"/>
    <w:rsid w:val="49EA37A3"/>
    <w:rsid w:val="4A466810"/>
    <w:rsid w:val="4A8A52C7"/>
    <w:rsid w:val="4ACD6289"/>
    <w:rsid w:val="4BD33304"/>
    <w:rsid w:val="4C574A53"/>
    <w:rsid w:val="4F147A4F"/>
    <w:rsid w:val="4F967E71"/>
    <w:rsid w:val="4FF12840"/>
    <w:rsid w:val="50B279AD"/>
    <w:rsid w:val="50C85721"/>
    <w:rsid w:val="50F1414E"/>
    <w:rsid w:val="513C117F"/>
    <w:rsid w:val="514109D7"/>
    <w:rsid w:val="51A76313"/>
    <w:rsid w:val="525802EC"/>
    <w:rsid w:val="526B29FE"/>
    <w:rsid w:val="52C93FBF"/>
    <w:rsid w:val="52E84022"/>
    <w:rsid w:val="52EC54BB"/>
    <w:rsid w:val="52EE738D"/>
    <w:rsid w:val="5369208E"/>
    <w:rsid w:val="537062BE"/>
    <w:rsid w:val="5388796D"/>
    <w:rsid w:val="53D51A9C"/>
    <w:rsid w:val="54321378"/>
    <w:rsid w:val="55342965"/>
    <w:rsid w:val="55DE1A69"/>
    <w:rsid w:val="5626734F"/>
    <w:rsid w:val="563B6A85"/>
    <w:rsid w:val="56C71759"/>
    <w:rsid w:val="56F246D6"/>
    <w:rsid w:val="57DB097D"/>
    <w:rsid w:val="583A2AE4"/>
    <w:rsid w:val="58425F6E"/>
    <w:rsid w:val="594C7F4B"/>
    <w:rsid w:val="59EC0A87"/>
    <w:rsid w:val="5A6E63D2"/>
    <w:rsid w:val="5A87375D"/>
    <w:rsid w:val="5B440ED1"/>
    <w:rsid w:val="5BB944D6"/>
    <w:rsid w:val="5CDF5245"/>
    <w:rsid w:val="5DA66C65"/>
    <w:rsid w:val="5E333BC7"/>
    <w:rsid w:val="5E4E52BA"/>
    <w:rsid w:val="5E93613B"/>
    <w:rsid w:val="5EFC129C"/>
    <w:rsid w:val="607619DB"/>
    <w:rsid w:val="60C12419"/>
    <w:rsid w:val="60F85A7B"/>
    <w:rsid w:val="614516E6"/>
    <w:rsid w:val="614E20A1"/>
    <w:rsid w:val="61FB67A3"/>
    <w:rsid w:val="6246472C"/>
    <w:rsid w:val="62D1663E"/>
    <w:rsid w:val="636D0DC7"/>
    <w:rsid w:val="638735EA"/>
    <w:rsid w:val="654D03FC"/>
    <w:rsid w:val="658D55CC"/>
    <w:rsid w:val="659A476F"/>
    <w:rsid w:val="65C3454F"/>
    <w:rsid w:val="66896DB7"/>
    <w:rsid w:val="66C63750"/>
    <w:rsid w:val="67161852"/>
    <w:rsid w:val="67AD39E4"/>
    <w:rsid w:val="67E23F03"/>
    <w:rsid w:val="680F33CE"/>
    <w:rsid w:val="6816631A"/>
    <w:rsid w:val="68517A00"/>
    <w:rsid w:val="695C581C"/>
    <w:rsid w:val="6A6543C0"/>
    <w:rsid w:val="6B1F5E00"/>
    <w:rsid w:val="6B6945D4"/>
    <w:rsid w:val="6BC84F84"/>
    <w:rsid w:val="6BF824D2"/>
    <w:rsid w:val="6C993C3F"/>
    <w:rsid w:val="6D3128B8"/>
    <w:rsid w:val="6D4B664F"/>
    <w:rsid w:val="6E3828DD"/>
    <w:rsid w:val="6E7F7F32"/>
    <w:rsid w:val="6EB10EEF"/>
    <w:rsid w:val="6EF2063F"/>
    <w:rsid w:val="70CD2F3E"/>
    <w:rsid w:val="73023F31"/>
    <w:rsid w:val="73295D78"/>
    <w:rsid w:val="73461ECA"/>
    <w:rsid w:val="73473E24"/>
    <w:rsid w:val="74D62DED"/>
    <w:rsid w:val="75130BE3"/>
    <w:rsid w:val="752812FC"/>
    <w:rsid w:val="75ED082A"/>
    <w:rsid w:val="76B23F1F"/>
    <w:rsid w:val="76E16B52"/>
    <w:rsid w:val="7730322D"/>
    <w:rsid w:val="774569D2"/>
    <w:rsid w:val="784F0659"/>
    <w:rsid w:val="78517930"/>
    <w:rsid w:val="78AB7600"/>
    <w:rsid w:val="78D46685"/>
    <w:rsid w:val="78FA0750"/>
    <w:rsid w:val="79685E94"/>
    <w:rsid w:val="79A52C8F"/>
    <w:rsid w:val="7A502F2E"/>
    <w:rsid w:val="7AC22DFD"/>
    <w:rsid w:val="7C381299"/>
    <w:rsid w:val="7D423564"/>
    <w:rsid w:val="7D6460F1"/>
    <w:rsid w:val="7E370BE3"/>
    <w:rsid w:val="7E46181E"/>
    <w:rsid w:val="7E79679E"/>
    <w:rsid w:val="7ED85DC4"/>
    <w:rsid w:val="7EEF320C"/>
    <w:rsid w:val="7F7B43D7"/>
    <w:rsid w:val="7FF1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99"/>
    <w:pPr>
      <w:tabs>
        <w:tab w:val="left" w:pos="0"/>
      </w:tabs>
      <w:ind w:firstLine="480"/>
    </w:pPr>
    <w:rPr>
      <w:sz w:val="24"/>
      <w:szCs w:val="24"/>
    </w:rPr>
  </w:style>
  <w:style w:type="paragraph" w:styleId="4">
    <w:name w:val="Normal Indent"/>
    <w:basedOn w:val="1"/>
    <w:unhideWhenUsed/>
    <w:qFormat/>
    <w:uiPriority w:val="99"/>
    <w:pPr>
      <w:ind w:firstLine="420"/>
    </w:pPr>
    <w:rPr>
      <w:sz w:val="24"/>
      <w:szCs w:val="20"/>
    </w:rPr>
  </w:style>
  <w:style w:type="paragraph" w:styleId="5">
    <w:name w:val="Body Text"/>
    <w:basedOn w:val="1"/>
    <w:qFormat/>
    <w:uiPriority w:val="0"/>
  </w:style>
  <w:style w:type="paragraph" w:styleId="6">
    <w:name w:val="Plain Text"/>
    <w:basedOn w:val="1"/>
    <w:qFormat/>
    <w:uiPriority w:val="0"/>
    <w:rPr>
      <w:rFonts w:ascii="宋体" w:hAnsi="Courier New"/>
      <w:szCs w:val="20"/>
    </w:rPr>
  </w:style>
  <w:style w:type="paragraph" w:styleId="7">
    <w:name w:val="Balloon Text"/>
    <w:basedOn w:val="1"/>
    <w:link w:val="14"/>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3">
    <w:name w:val="报告正文"/>
    <w:basedOn w:val="1"/>
    <w:qFormat/>
    <w:uiPriority w:val="0"/>
    <w:pPr>
      <w:adjustRightInd w:val="0"/>
      <w:snapToGrid w:val="0"/>
      <w:spacing w:beforeLines="50" w:afterLines="50"/>
    </w:pPr>
    <w:rPr>
      <w:spacing w:val="4"/>
      <w:sz w:val="24"/>
    </w:rPr>
  </w:style>
  <w:style w:type="character" w:customStyle="1" w:styleId="14">
    <w:name w:val="批注框文本 Char"/>
    <w:basedOn w:val="12"/>
    <w:link w:val="7"/>
    <w:semiHidden/>
    <w:qFormat/>
    <w:uiPriority w:val="99"/>
    <w:rPr>
      <w:rFonts w:asciiTheme="minorHAnsi" w:hAnsiTheme="minorHAnsi" w:eastAsiaTheme="minorEastAsia" w:cstheme="minorBidi"/>
      <w:kern w:val="2"/>
      <w:sz w:val="18"/>
      <w:szCs w:val="18"/>
    </w:rPr>
  </w:style>
  <w:style w:type="paragraph" w:customStyle="1" w:styleId="15">
    <w:name w:val="F正文"/>
    <w:basedOn w:val="1"/>
    <w:qFormat/>
    <w:uiPriority w:val="0"/>
    <w:pPr>
      <w:spacing w:line="360" w:lineRule="auto"/>
      <w:ind w:firstLine="200" w:firstLineChars="200"/>
    </w:pPr>
    <w:rPr>
      <w:rFonts w:ascii="Times New Roman" w:hAnsi="Times New Roman"/>
      <w:color w:val="000000"/>
      <w:kern w:val="0"/>
      <w:sz w:val="24"/>
      <w:szCs w:val="24"/>
    </w:rPr>
  </w:style>
  <w:style w:type="paragraph" w:customStyle="1" w:styleId="16">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szCs w:val="22"/>
      <w:lang w:val="en-US" w:eastAsia="zh-CN" w:bidi="ar-SA"/>
    </w:rPr>
  </w:style>
  <w:style w:type="paragraph" w:customStyle="1" w:styleId="17">
    <w:name w:val="正文LTT"/>
    <w:basedOn w:val="1"/>
    <w:qFormat/>
    <w:uiPriority w:val="0"/>
    <w:pPr>
      <w:spacing w:line="360" w:lineRule="auto"/>
      <w:ind w:firstLine="948" w:firstLineChars="200"/>
    </w:pPr>
    <w:rPr>
      <w:rFonts w:ascii="Times New Roman" w:hAnsi="Times New Roman"/>
      <w:sz w:val="24"/>
      <w:szCs w:val="24"/>
    </w:rPr>
  </w:style>
  <w:style w:type="paragraph" w:customStyle="1" w:styleId="18">
    <w:name w:val="Default"/>
    <w:unhideWhenUsed/>
    <w:qFormat/>
    <w:uiPriority w:val="0"/>
    <w:pPr>
      <w:widowControl w:val="0"/>
      <w:autoSpaceDE w:val="0"/>
      <w:autoSpaceDN w:val="0"/>
      <w:adjustRightInd w:val="0"/>
    </w:pPr>
    <w:rPr>
      <w:rFonts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251</Words>
  <Characters>1431</Characters>
  <Lines>11</Lines>
  <Paragraphs>3</Paragraphs>
  <TotalTime>1</TotalTime>
  <ScaleCrop>false</ScaleCrop>
  <LinksUpToDate>false</LinksUpToDate>
  <CharactersWithSpaces>1679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2020-09-28T00:30:00Z</cp:lastPrinted>
  <dcterms:modified xsi:type="dcterms:W3CDTF">2021-01-28T03:18:16Z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