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840" w:hanging="840" w:hangingChars="300"/>
        <w:jc w:val="left"/>
        <w:rPr>
          <w:rFonts w:ascii="方正小标宋_GBK" w:eastAsia="方正小标宋_GBK"/>
          <w:sz w:val="28"/>
          <w:szCs w:val="28"/>
        </w:rPr>
      </w:pPr>
      <w:r>
        <w:rPr>
          <w:rFonts w:hint="eastAsia" w:ascii="方正小标宋_GBK" w:eastAsia="方正小标宋_GBK"/>
          <w:sz w:val="28"/>
          <w:szCs w:val="28"/>
        </w:rPr>
        <w:t>附件3：项目支出绩效评价报告</w:t>
      </w:r>
    </w:p>
    <w:p>
      <w:pPr>
        <w:spacing w:before="120" w:after="120" w:line="480" w:lineRule="auto"/>
        <w:jc w:val="center"/>
        <w:rPr>
          <w:rFonts w:ascii="Times New Roman" w:hAnsi="Times New Roman" w:eastAsia="黑体"/>
          <w:b/>
          <w:bCs/>
          <w:sz w:val="52"/>
          <w:szCs w:val="52"/>
        </w:rPr>
      </w:pPr>
    </w:p>
    <w:p>
      <w:pPr>
        <w:jc w:val="center"/>
        <w:rPr>
          <w:rFonts w:ascii="黑体" w:hAnsi="黑体" w:eastAsia="黑体" w:cs="黑体"/>
          <w:bCs/>
          <w:sz w:val="52"/>
          <w:szCs w:val="52"/>
        </w:rPr>
      </w:pPr>
      <w:r>
        <w:rPr>
          <w:rFonts w:hint="eastAsia" w:ascii="黑体" w:hAnsi="黑体" w:eastAsia="黑体" w:cs="黑体"/>
          <w:bCs/>
          <w:sz w:val="52"/>
          <w:szCs w:val="52"/>
          <w:lang w:eastAsia="zh-CN"/>
        </w:rPr>
        <w:t>迪庆州农业农村局</w:t>
      </w:r>
      <w:r>
        <w:rPr>
          <w:rFonts w:hint="eastAsia" w:ascii="黑体" w:hAnsi="黑体" w:eastAsia="黑体" w:cs="黑体"/>
          <w:bCs/>
          <w:sz w:val="52"/>
          <w:szCs w:val="52"/>
        </w:rPr>
        <w:t>2019年重大动物疫病防控项目支出绩效自评报告</w:t>
      </w:r>
    </w:p>
    <w:p>
      <w:pPr>
        <w:jc w:val="center"/>
        <w:rPr>
          <w:rFonts w:ascii="黑体" w:hAnsi="黑体" w:eastAsia="黑体"/>
          <w:bCs/>
          <w:sz w:val="52"/>
          <w:szCs w:val="52"/>
        </w:rPr>
      </w:pPr>
      <w:r>
        <w:rPr>
          <w:rFonts w:hint="eastAsia" w:ascii="黑体" w:hAnsi="黑体" w:eastAsia="黑体" w:cs="黑体"/>
          <w:bCs/>
          <w:sz w:val="52"/>
          <w:szCs w:val="52"/>
        </w:rPr>
        <w:t>（</w:t>
      </w:r>
      <w:r>
        <w:rPr>
          <w:rFonts w:hint="eastAsia" w:ascii="黑体" w:hAnsi="黑体" w:eastAsia="黑体" w:cs="黑体"/>
          <w:bCs/>
          <w:sz w:val="52"/>
          <w:szCs w:val="52"/>
          <w:lang w:val="en-US" w:eastAsia="zh-CN"/>
        </w:rPr>
        <w:t>2019</w:t>
      </w:r>
      <w:r>
        <w:rPr>
          <w:rFonts w:hint="eastAsia" w:ascii="黑体" w:hAnsi="黑体" w:eastAsia="黑体" w:cs="黑体"/>
          <w:bCs/>
          <w:sz w:val="52"/>
          <w:szCs w:val="52"/>
        </w:rPr>
        <w:t>年度）</w:t>
      </w:r>
    </w:p>
    <w:p>
      <w:pPr>
        <w:spacing w:before="120" w:after="120" w:line="480" w:lineRule="auto"/>
        <w:jc w:val="center"/>
        <w:rPr>
          <w:rFonts w:ascii="Times New Roman" w:hAnsi="Times New Roman" w:eastAsia="黑体"/>
          <w:b/>
          <w:bCs/>
          <w:sz w:val="52"/>
          <w:szCs w:val="52"/>
        </w:rPr>
      </w:pPr>
    </w:p>
    <w:p>
      <w:pPr>
        <w:spacing w:before="120" w:after="120" w:line="480" w:lineRule="auto"/>
        <w:jc w:val="center"/>
        <w:rPr>
          <w:rFonts w:ascii="Times New Roman" w:hAnsi="Times New Roman"/>
          <w:b/>
          <w:bCs/>
          <w:sz w:val="44"/>
          <w:szCs w:val="44"/>
        </w:rPr>
      </w:pPr>
    </w:p>
    <w:p>
      <w:pPr>
        <w:spacing w:before="120" w:after="120" w:line="480" w:lineRule="auto"/>
        <w:jc w:val="center"/>
        <w:rPr>
          <w:rFonts w:ascii="Times New Roman" w:hAnsi="Times New Roman"/>
          <w:b/>
          <w:bCs/>
          <w:sz w:val="44"/>
          <w:szCs w:val="44"/>
        </w:rPr>
      </w:pPr>
    </w:p>
    <w:p>
      <w:pPr>
        <w:spacing w:before="120" w:after="120" w:line="480" w:lineRule="auto"/>
        <w:jc w:val="center"/>
        <w:rPr>
          <w:rFonts w:ascii="Times New Roman" w:hAnsi="Times New Roman" w:eastAsia="黑体"/>
          <w:b/>
          <w:bCs/>
          <w:sz w:val="44"/>
          <w:szCs w:val="44"/>
        </w:rPr>
      </w:pPr>
    </w:p>
    <w:p>
      <w:pPr>
        <w:tabs>
          <w:tab w:val="center" w:pos="4153"/>
        </w:tabs>
        <w:adjustRightInd w:val="0"/>
        <w:snapToGrid w:val="0"/>
        <w:spacing w:line="360" w:lineRule="auto"/>
        <w:ind w:left="1260" w:leftChars="600"/>
        <w:rPr>
          <w:rFonts w:hint="eastAsia" w:ascii="Times New Roman" w:hAnsi="Times New Roman" w:eastAsia="黑体" w:cs="黑体"/>
          <w:b/>
          <w:bCs/>
          <w:sz w:val="28"/>
          <w:szCs w:val="28"/>
          <w:lang w:eastAsia="zh-CN"/>
        </w:rPr>
      </w:pPr>
      <w:r>
        <w:rPr>
          <w:rFonts w:ascii="Times New Roman" w:hAnsi="Times New Roman" w:eastAsia="黑体" w:cs="黑体"/>
          <w:b/>
          <w:bCs/>
          <w:sz w:val="28"/>
          <w:szCs w:val="28"/>
        </w:rPr>
        <mc:AlternateContent>
          <mc:Choice Requires="wps">
            <w:drawing>
              <wp:anchor distT="0" distB="0" distL="114300" distR="114300" simplePos="0" relativeHeight="251659264" behindDoc="0" locked="0" layoutInCell="1" allowOverlap="1">
                <wp:simplePos x="0" y="0"/>
                <wp:positionH relativeFrom="column">
                  <wp:posOffset>2371725</wp:posOffset>
                </wp:positionH>
                <wp:positionV relativeFrom="paragraph">
                  <wp:posOffset>196215</wp:posOffset>
                </wp:positionV>
                <wp:extent cx="2495550" cy="0"/>
                <wp:effectExtent l="9525" t="10160" r="9525" b="889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86.75pt;margin-top:15.45pt;height:0pt;width:196.5pt;z-index:251659264;mso-width-relative:page;mso-height-relative:page;" filled="f" stroked="t" coordsize="21600,21600" o:gfxdata="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XqXKDXAAAACQEAAA8AAAAAAAAA&#10;AQAgAAAAIgAAAGRycy9kb3ducmV2LnhtbFBLAQIUABQAAAAIAIdO4kD2cZDw2QEAAHADAAAOAAAA&#10;AAAAAAEAIAAAACYBAABkcnMvZTJvRG9jLnhtbFBLBQYAAAAABgAGAFkBAABxBQ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rPr>
        <w:t>部门名称（公章）：</w:t>
      </w:r>
      <w:r>
        <w:rPr>
          <w:rFonts w:hint="eastAsia" w:ascii="Times New Roman" w:hAnsi="Times New Roman" w:eastAsia="黑体" w:cs="黑体"/>
          <w:b/>
          <w:bCs/>
          <w:sz w:val="28"/>
          <w:szCs w:val="28"/>
          <w:lang w:eastAsia="zh-CN"/>
        </w:rPr>
        <w:tab/>
      </w:r>
      <w:r>
        <w:rPr>
          <w:rFonts w:hint="eastAsia" w:ascii="Times New Roman" w:hAnsi="Times New Roman" w:eastAsia="黑体" w:cs="黑体"/>
          <w:b/>
          <w:bCs/>
          <w:sz w:val="28"/>
          <w:szCs w:val="28"/>
          <w:lang w:eastAsia="zh-CN"/>
        </w:rPr>
        <w:t>迪庆州农业农村局</w:t>
      </w:r>
    </w:p>
    <w:p>
      <w:pPr>
        <w:adjustRightInd w:val="0"/>
        <w:snapToGrid w:val="0"/>
        <w:spacing w:line="360" w:lineRule="auto"/>
        <w:ind w:left="1260" w:leftChars="600"/>
        <w:rPr>
          <w:rFonts w:hint="eastAsia" w:ascii="Times New Roman" w:hAnsi="Times New Roman" w:eastAsia="黑体" w:cs="黑体"/>
          <w:b/>
          <w:bCs/>
          <w:sz w:val="28"/>
          <w:szCs w:val="28"/>
          <w:lang w:eastAsia="zh-CN"/>
        </w:rPr>
      </w:pPr>
      <w:r>
        <w:rPr>
          <w:rFonts w:ascii="Times New Roman" w:hAnsi="Times New Roman" w:eastAsia="黑体" w:cs="黑体"/>
          <w:b/>
          <w:bCs/>
          <w:sz w:val="28"/>
          <w:szCs w:val="28"/>
        </w:rPr>
        <mc:AlternateContent>
          <mc:Choice Requires="wps">
            <w:drawing>
              <wp:anchor distT="0" distB="0" distL="114300" distR="114300" simplePos="0" relativeHeight="251660288" behindDoc="0" locked="0" layoutInCell="1" allowOverlap="1">
                <wp:simplePos x="0" y="0"/>
                <wp:positionH relativeFrom="column">
                  <wp:posOffset>1714500</wp:posOffset>
                </wp:positionH>
                <wp:positionV relativeFrom="paragraph">
                  <wp:posOffset>221615</wp:posOffset>
                </wp:positionV>
                <wp:extent cx="2495550" cy="0"/>
                <wp:effectExtent l="9525" t="10160" r="9525" b="8890"/>
                <wp:wrapNone/>
                <wp:docPr id="4" name="直接箭头连接符 4"/>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5pt;margin-top:17.45pt;height:0pt;width:196.5pt;z-index:251660288;mso-width-relative:page;mso-height-relative:page;" filled="f" stroked="t" coordsize="21600,21600" o:gfxdata="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xhF2DXAAAACQEAAA8AAAAAAAAA&#10;AQAgAAAAIgAAAGRycy9kb3ducmV2LnhtbFBLAQIUABQAAAAIAIdO4kDYTeOo2QEAAHADAAAOAAAA&#10;AAAAAAEAIAAAACYBAABkcnMvZTJvRG9jLnhtbFBLBQYAAAAABgAGAFkBAABxBQ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rPr>
        <w:t>项目单位：</w:t>
      </w:r>
      <w:r>
        <w:rPr>
          <w:rFonts w:ascii="Times New Roman" w:hAnsi="Times New Roman" w:eastAsia="黑体"/>
          <w:b/>
          <w:bCs/>
          <w:sz w:val="28"/>
          <w:szCs w:val="28"/>
        </w:rPr>
        <w:t xml:space="preserve"> </w:t>
      </w:r>
      <w:r>
        <w:rPr>
          <w:rFonts w:hint="eastAsia" w:ascii="Times New Roman" w:hAnsi="Times New Roman" w:eastAsia="黑体"/>
          <w:b/>
          <w:bCs/>
          <w:sz w:val="28"/>
          <w:szCs w:val="28"/>
          <w:lang w:eastAsia="zh-CN"/>
        </w:rPr>
        <w:t>迪庆州农业农村局</w:t>
      </w:r>
    </w:p>
    <w:p>
      <w:pPr>
        <w:adjustRightInd w:val="0"/>
        <w:snapToGrid w:val="0"/>
        <w:spacing w:line="360" w:lineRule="auto"/>
        <w:ind w:left="1260" w:leftChars="600"/>
        <w:rPr>
          <w:rFonts w:hint="eastAsia" w:ascii="Times New Roman" w:hAnsi="Times New Roman" w:eastAsia="黑体"/>
          <w:b/>
          <w:bCs/>
          <w:sz w:val="28"/>
          <w:szCs w:val="28"/>
          <w:lang w:eastAsia="zh-CN"/>
        </w:rPr>
      </w:pPr>
      <w:r>
        <w:rPr>
          <w:rFonts w:ascii="Times New Roman" w:hAnsi="Times New Roman" w:eastAsia="黑体" w:cs="黑体"/>
          <w:b/>
          <w:bCs/>
          <w:sz w:val="28"/>
          <w:szCs w:val="28"/>
        </w:rPr>
        <mc:AlternateContent>
          <mc:Choice Requires="wps">
            <w:drawing>
              <wp:anchor distT="0" distB="0" distL="114300" distR="114300" simplePos="0" relativeHeight="251661312" behindDoc="0" locked="0" layoutInCell="1" allowOverlap="1">
                <wp:simplePos x="0" y="0"/>
                <wp:positionH relativeFrom="column">
                  <wp:posOffset>1714500</wp:posOffset>
                </wp:positionH>
                <wp:positionV relativeFrom="paragraph">
                  <wp:posOffset>180975</wp:posOffset>
                </wp:positionV>
                <wp:extent cx="2495550" cy="0"/>
                <wp:effectExtent l="9525" t="10160" r="9525" b="8890"/>
                <wp:wrapNone/>
                <wp:docPr id="3" name="直接箭头连接符 3"/>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5pt;margin-top:14.25pt;height:0pt;width:196.5pt;z-index:251661312;mso-width-relative:page;mso-height-relative:page;" filled="f" stroked="t" coordsize="21600,21600" o:gfxdata="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0IL+71wAAAAkBAAAPAAAAAAAA&#10;AAEAIAAAACIAAABkcnMvZG93bnJldi54bWxQSwECFAAUAAAACACHTuJAU//L+toBAABwAwAADgAA&#10;AAAAAAABACAAAAAmAQAAZHJzL2Uyb0RvYy54bWxQSwUGAAAAAAYABgBZAQAAcgU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rPr>
        <w:t>主管部门：</w:t>
      </w:r>
      <w:r>
        <w:rPr>
          <w:rFonts w:ascii="Times New Roman" w:hAnsi="Times New Roman" w:eastAsia="黑体"/>
          <w:b/>
          <w:bCs/>
          <w:sz w:val="28"/>
          <w:szCs w:val="28"/>
        </w:rPr>
        <w:t xml:space="preserve"> </w:t>
      </w:r>
      <w:r>
        <w:rPr>
          <w:rFonts w:hint="eastAsia" w:ascii="Times New Roman" w:hAnsi="Times New Roman" w:eastAsia="黑体"/>
          <w:b/>
          <w:bCs/>
          <w:sz w:val="28"/>
          <w:szCs w:val="28"/>
          <w:lang w:eastAsia="zh-CN"/>
        </w:rPr>
        <w:t>迪庆州农业农村局</w:t>
      </w:r>
    </w:p>
    <w:p>
      <w:pPr>
        <w:adjustRightInd w:val="0"/>
        <w:snapToGrid w:val="0"/>
        <w:spacing w:line="360" w:lineRule="auto"/>
        <w:ind w:left="1260" w:leftChars="600"/>
        <w:rPr>
          <w:rFonts w:ascii="Times New Roman" w:hAnsi="Times New Roman" w:eastAsia="黑体"/>
          <w:b/>
          <w:bCs/>
          <w:sz w:val="28"/>
          <w:szCs w:val="28"/>
        </w:rPr>
      </w:pPr>
      <w:r>
        <w:rPr>
          <w:rFonts w:ascii="Times New Roman" w:hAnsi="Times New Roman" w:eastAsia="黑体" w:cs="黑体"/>
          <w:b/>
          <w:bCs/>
          <w:sz w:val="28"/>
          <w:szCs w:val="28"/>
        </w:rPr>
        <mc:AlternateContent>
          <mc:Choice Requires="wps">
            <w:drawing>
              <wp:anchor distT="0" distB="0" distL="114300" distR="114300" simplePos="0" relativeHeight="251662336" behindDoc="0" locked="0" layoutInCell="1" allowOverlap="1">
                <wp:simplePos x="0" y="0"/>
                <wp:positionH relativeFrom="column">
                  <wp:posOffset>1714500</wp:posOffset>
                </wp:positionH>
                <wp:positionV relativeFrom="paragraph">
                  <wp:posOffset>180975</wp:posOffset>
                </wp:positionV>
                <wp:extent cx="2495550" cy="0"/>
                <wp:effectExtent l="9525" t="13335" r="9525" b="5715"/>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5pt;margin-top:14.25pt;height:0pt;width:196.5pt;z-index:251662336;mso-width-relative:page;mso-height-relative:page;" filled="f" stroked="t" coordsize="21600,21600" o:gfxdata="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Qgv7vXAAAACQEAAA8AAAAAAAAA&#10;AQAgAAAAIgAAAGRycy9kb3ducmV2LnhtbFBLAQIUABQAAAAIAIdO4kB9w7ii2QEAAHADAAAOAAAA&#10;AAAAAAEAIAAAACYBAABkcnMvZTJvRG9jLnhtbFBLBQYAAAAABgAGAFkBAABxBQ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rPr>
        <w:t>项目名称：</w:t>
      </w:r>
      <w:r>
        <w:rPr>
          <w:rFonts w:ascii="Times New Roman" w:hAnsi="Times New Roman" w:eastAsia="黑体"/>
          <w:b/>
          <w:bCs/>
          <w:sz w:val="28"/>
          <w:szCs w:val="28"/>
        </w:rPr>
        <w:t xml:space="preserve"> </w:t>
      </w:r>
      <w:r>
        <w:rPr>
          <w:rFonts w:hint="eastAsia" w:ascii="Times New Roman" w:hAnsi="Times New Roman" w:eastAsia="黑体"/>
          <w:b/>
          <w:bCs/>
          <w:sz w:val="28"/>
          <w:szCs w:val="28"/>
          <w:u w:val="none"/>
        </w:rPr>
        <w:t>2019年重大动物疫病防控项目</w:t>
      </w:r>
    </w:p>
    <w:p>
      <w:pPr>
        <w:adjustRightInd w:val="0"/>
        <w:snapToGrid w:val="0"/>
        <w:spacing w:line="360" w:lineRule="auto"/>
        <w:ind w:left="1260" w:leftChars="600"/>
        <w:rPr>
          <w:rFonts w:hint="default" w:ascii="Times New Roman" w:hAnsi="Times New Roman" w:eastAsia="黑体"/>
          <w:b/>
          <w:bCs/>
          <w:sz w:val="28"/>
          <w:szCs w:val="28"/>
          <w:lang w:val="en-US" w:eastAsia="zh-CN"/>
        </w:rPr>
      </w:pPr>
      <w:r>
        <w:rPr>
          <w:rFonts w:ascii="Times New Roman" w:hAnsi="Times New Roman" w:eastAsia="黑体" w:cs="黑体"/>
          <w:b/>
          <w:bCs/>
          <w:sz w:val="28"/>
          <w:szCs w:val="28"/>
        </w:rPr>
        <mc:AlternateContent>
          <mc:Choice Requires="wps">
            <w:drawing>
              <wp:anchor distT="0" distB="0" distL="114300" distR="114300" simplePos="0" relativeHeight="251663360" behindDoc="0" locked="0" layoutInCell="1" allowOverlap="1">
                <wp:simplePos x="0" y="0"/>
                <wp:positionH relativeFrom="column">
                  <wp:posOffset>1714500</wp:posOffset>
                </wp:positionH>
                <wp:positionV relativeFrom="paragraph">
                  <wp:posOffset>180975</wp:posOffset>
                </wp:positionV>
                <wp:extent cx="2495550" cy="0"/>
                <wp:effectExtent l="9525" t="6985" r="9525" b="12065"/>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5pt;margin-top:14.25pt;height:0pt;width:196.5pt;z-index:251663360;mso-width-relative:page;mso-height-relative:page;" filled="f" stroked="t" coordsize="21600,21600" o:gfxdata="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CC/u9cAAAAJAQAADwAAAAAAAAAB&#10;ACAAAAAiAAAAZHJzL2Rvd25yZXYueG1sUEsBAhQAFAAAAAgAh07iQA+HLUrYAQAAcAMAAA4AAAAA&#10;AAAAAQAgAAAAJgEAAGRycy9lMm9Eb2MueG1sUEsFBgAAAAAGAAYAWQEAAHAFAAAAAA==&#10;">
                <v:fill on="f" focussize="0,0"/>
                <v:stroke color="#000000" joinstyle="round"/>
                <v:imagedata o:title=""/>
                <o:lock v:ext="edit" aspectratio="f"/>
              </v:shape>
            </w:pict>
          </mc:Fallback>
        </mc:AlternateContent>
      </w:r>
      <w:r>
        <w:rPr>
          <w:rFonts w:hint="eastAsia" w:ascii="Times New Roman" w:hAnsi="Times New Roman" w:eastAsia="黑体" w:cs="黑体"/>
          <w:b/>
          <w:bCs/>
          <w:sz w:val="28"/>
          <w:szCs w:val="28"/>
        </w:rPr>
        <w:t>绩效自评日期：</w:t>
      </w:r>
      <w:r>
        <w:rPr>
          <w:rFonts w:ascii="Times New Roman" w:hAnsi="Times New Roman" w:eastAsia="黑体"/>
          <w:b/>
          <w:bCs/>
          <w:sz w:val="28"/>
          <w:szCs w:val="28"/>
        </w:rPr>
        <w:t xml:space="preserve"> </w:t>
      </w:r>
      <w:r>
        <w:rPr>
          <w:rFonts w:hint="eastAsia" w:ascii="Times New Roman" w:hAnsi="Times New Roman" w:eastAsia="黑体"/>
          <w:b/>
          <w:bCs/>
          <w:sz w:val="28"/>
          <w:szCs w:val="28"/>
          <w:lang w:val="en-US" w:eastAsia="zh-CN"/>
        </w:rPr>
        <w:t>2020年5月26日</w:t>
      </w:r>
    </w:p>
    <w:p>
      <w:pPr>
        <w:spacing w:line="360" w:lineRule="auto"/>
        <w:ind w:left="1218" w:leftChars="580"/>
        <w:rPr>
          <w:rFonts w:ascii="Times New Roman" w:hAnsi="Times New Roman" w:eastAsia="黑体"/>
          <w:b/>
          <w:bCs/>
          <w:sz w:val="28"/>
          <w:szCs w:val="28"/>
        </w:rPr>
      </w:pPr>
    </w:p>
    <w:p>
      <w:pPr>
        <w:jc w:val="center"/>
        <w:rPr>
          <w:rFonts w:ascii="Times New Roman" w:hAnsi="Times New Roman" w:eastAsia="黑体" w:cs="黑体"/>
          <w:b/>
          <w:bCs/>
          <w:sz w:val="28"/>
          <w:szCs w:val="28"/>
        </w:rPr>
      </w:pPr>
      <w:r>
        <w:rPr>
          <w:rFonts w:ascii="Times New Roman" w:hAnsi="Times New Roman" w:eastAsia="黑体"/>
          <w:b/>
          <w:bCs/>
          <w:sz w:val="28"/>
          <w:szCs w:val="28"/>
        </w:rPr>
        <w:t>20</w:t>
      </w:r>
      <w:r>
        <w:rPr>
          <w:rFonts w:hint="eastAsia" w:ascii="Times New Roman" w:hAnsi="Times New Roman" w:eastAsia="黑体"/>
          <w:b/>
          <w:bCs/>
          <w:sz w:val="28"/>
          <w:szCs w:val="28"/>
          <w:lang w:val="en-US" w:eastAsia="zh-CN"/>
        </w:rPr>
        <w:t>20</w:t>
      </w:r>
      <w:r>
        <w:rPr>
          <w:rFonts w:hint="eastAsia" w:ascii="Times New Roman" w:hAnsi="Times New Roman" w:eastAsia="黑体" w:cs="黑体"/>
          <w:b/>
          <w:bCs/>
          <w:sz w:val="28"/>
          <w:szCs w:val="28"/>
        </w:rPr>
        <w:t>年</w:t>
      </w:r>
      <w:r>
        <w:rPr>
          <w:rFonts w:hint="eastAsia" w:ascii="Times New Roman" w:hAnsi="Times New Roman" w:eastAsia="黑体"/>
          <w:b/>
          <w:bCs/>
          <w:sz w:val="28"/>
          <w:szCs w:val="28"/>
          <w:lang w:val="en-US" w:eastAsia="zh-CN"/>
        </w:rPr>
        <w:t>5</w:t>
      </w:r>
      <w:r>
        <w:rPr>
          <w:rFonts w:hint="eastAsia" w:ascii="Times New Roman" w:hAnsi="Times New Roman" w:eastAsia="黑体" w:cs="黑体"/>
          <w:b/>
          <w:bCs/>
          <w:sz w:val="28"/>
          <w:szCs w:val="28"/>
        </w:rPr>
        <w:t>月</w:t>
      </w:r>
    </w:p>
    <w:p>
      <w:pPr>
        <w:jc w:val="center"/>
        <w:rPr>
          <w:rFonts w:ascii="Times New Roman" w:hAnsi="Times New Roman" w:eastAsia="黑体" w:cs="黑体"/>
          <w:b/>
          <w:bCs/>
          <w:sz w:val="28"/>
          <w:szCs w:val="28"/>
        </w:rPr>
      </w:pPr>
    </w:p>
    <w:p>
      <w:pPr>
        <w:jc w:val="center"/>
        <w:rPr>
          <w:rFonts w:ascii="Times New Roman" w:hAnsi="Times New Roman" w:eastAsia="黑体" w:cs="黑体"/>
          <w:b/>
          <w:bCs/>
          <w:sz w:val="28"/>
          <w:szCs w:val="28"/>
        </w:rPr>
      </w:pPr>
    </w:p>
    <w:p>
      <w:pPr>
        <w:jc w:val="center"/>
        <w:rPr>
          <w:rFonts w:ascii="Times New Roman" w:hAnsi="Times New Roman" w:eastAsia="黑体" w:cs="黑体"/>
          <w:b/>
          <w:bCs/>
          <w:sz w:val="28"/>
          <w:szCs w:val="28"/>
        </w:rPr>
      </w:pPr>
    </w:p>
    <w:p>
      <w:pPr>
        <w:jc w:val="center"/>
        <w:rPr>
          <w:rFonts w:ascii="Times New Roman" w:hAnsi="Times New Roman" w:eastAsia="黑体" w:cs="黑体"/>
          <w:b/>
          <w:bCs/>
          <w:sz w:val="28"/>
          <w:szCs w:val="28"/>
        </w:rPr>
      </w:pPr>
    </w:p>
    <w:p>
      <w:pPr>
        <w:widowControl/>
        <w:jc w:val="left"/>
        <w:rPr>
          <w:rFonts w:ascii="Times New Roman" w:hAnsi="Times New Roman" w:eastAsia="仿宋_GB2312"/>
          <w:b/>
          <w:bCs/>
          <w:sz w:val="28"/>
          <w:szCs w:val="28"/>
        </w:rPr>
        <w:sectPr>
          <w:pgSz w:w="11906" w:h="16838"/>
          <w:pgMar w:top="1440" w:right="1800" w:bottom="1440" w:left="1800" w:header="851" w:footer="992" w:gutter="0"/>
          <w:cols w:space="425" w:num="1"/>
          <w:titlePg/>
          <w:docGrid w:type="lines" w:linePitch="312" w:charSpace="0"/>
        </w:sectPr>
      </w:pPr>
    </w:p>
    <w:p>
      <w:pPr>
        <w:pStyle w:val="6"/>
        <w:widowControl w:val="0"/>
        <w:spacing w:after="0" w:line="360" w:lineRule="auto"/>
        <w:jc w:val="both"/>
        <w:rPr>
          <w:rFonts w:ascii="Times New Roman" w:hAnsi="Times New Roman" w:eastAsia="黑体" w:cs="Times New Roman"/>
          <w:kern w:val="2"/>
          <w:sz w:val="24"/>
          <w:szCs w:val="24"/>
          <w:lang w:val="zh-TW" w:eastAsia="zh-TW"/>
        </w:rPr>
      </w:pPr>
      <w:r>
        <w:rPr>
          <w:rFonts w:hint="eastAsia" w:ascii="Times New Roman" w:hAnsi="Times New Roman" w:eastAsia="黑体" w:cs="黑体"/>
          <w:kern w:val="2"/>
          <w:sz w:val="24"/>
          <w:szCs w:val="24"/>
          <w:lang w:val="zh-TW" w:eastAsia="zh-TW"/>
        </w:rPr>
        <w:t>评价小组成员：</w:t>
      </w:r>
    </w:p>
    <w:tbl>
      <w:tblPr>
        <w:tblStyle w:val="3"/>
        <w:tblpPr w:leftFromText="180" w:rightFromText="180" w:vertAnchor="text" w:horzAnchor="margin" w:tblpY="72"/>
        <w:tblW w:w="8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443"/>
        <w:gridCol w:w="2719"/>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20"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评价小组</w:t>
            </w:r>
          </w:p>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机构职位</w:t>
            </w:r>
          </w:p>
        </w:tc>
        <w:tc>
          <w:tcPr>
            <w:tcW w:w="1620"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姓名</w:t>
            </w:r>
          </w:p>
        </w:tc>
        <w:tc>
          <w:tcPr>
            <w:tcW w:w="1443"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职务/职称</w:t>
            </w:r>
          </w:p>
        </w:tc>
        <w:tc>
          <w:tcPr>
            <w:tcW w:w="2719"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所属</w:t>
            </w:r>
          </w:p>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单位/处室</w:t>
            </w:r>
          </w:p>
        </w:tc>
        <w:tc>
          <w:tcPr>
            <w:tcW w:w="1200"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trPr>
        <w:tc>
          <w:tcPr>
            <w:tcW w:w="1620" w:type="dxa"/>
            <w:vAlign w:val="center"/>
          </w:tcPr>
          <w:p>
            <w:pPr>
              <w:pStyle w:val="6"/>
              <w:widowControl w:val="0"/>
              <w:spacing w:after="0" w:line="24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组长</w:t>
            </w:r>
          </w:p>
        </w:tc>
        <w:tc>
          <w:tcPr>
            <w:tcW w:w="1620" w:type="dxa"/>
            <w:vAlign w:val="center"/>
          </w:tcPr>
          <w:p>
            <w:pPr>
              <w:pStyle w:val="6"/>
              <w:widowControl w:val="0"/>
              <w:spacing w:after="0" w:line="24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杨树奇</w:t>
            </w:r>
          </w:p>
        </w:tc>
        <w:tc>
          <w:tcPr>
            <w:tcW w:w="1443" w:type="dxa"/>
            <w:vAlign w:val="center"/>
          </w:tcPr>
          <w:p>
            <w:pPr>
              <w:pStyle w:val="6"/>
              <w:widowControl w:val="0"/>
              <w:spacing w:after="0" w:line="24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局长</w:t>
            </w:r>
          </w:p>
        </w:tc>
        <w:tc>
          <w:tcPr>
            <w:tcW w:w="2719" w:type="dxa"/>
            <w:vAlign w:val="center"/>
          </w:tcPr>
          <w:p>
            <w:pPr>
              <w:pStyle w:val="6"/>
              <w:widowControl w:val="0"/>
              <w:spacing w:after="0" w:line="24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迪庆州农业农村局</w:t>
            </w:r>
          </w:p>
        </w:tc>
        <w:tc>
          <w:tcPr>
            <w:tcW w:w="1200" w:type="dxa"/>
            <w:vAlign w:val="center"/>
          </w:tcPr>
          <w:p>
            <w:pPr>
              <w:pStyle w:val="6"/>
              <w:widowControl w:val="0"/>
              <w:spacing w:after="0" w:line="24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1620" w:type="dxa"/>
            <w:vAlign w:val="center"/>
          </w:tcPr>
          <w:p>
            <w:pPr>
              <w:pStyle w:val="6"/>
              <w:widowControl w:val="0"/>
              <w:spacing w:after="0" w:line="36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副组长</w:t>
            </w:r>
          </w:p>
        </w:tc>
        <w:tc>
          <w:tcPr>
            <w:tcW w:w="1620"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扎都</w:t>
            </w:r>
          </w:p>
        </w:tc>
        <w:tc>
          <w:tcPr>
            <w:tcW w:w="1443"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副局长</w:t>
            </w:r>
          </w:p>
        </w:tc>
        <w:tc>
          <w:tcPr>
            <w:tcW w:w="2719" w:type="dxa"/>
            <w:vAlign w:val="center"/>
          </w:tcPr>
          <w:p>
            <w:pPr>
              <w:pStyle w:val="6"/>
              <w:widowControl w:val="0"/>
              <w:spacing w:after="0" w:line="360" w:lineRule="auto"/>
              <w:jc w:val="center"/>
              <w:rPr>
                <w:rFonts w:ascii="Times New Roman" w:hAnsi="Times New Roman" w:eastAsia="黑体" w:cs="黑体"/>
                <w:kern w:val="2"/>
                <w:sz w:val="24"/>
                <w:szCs w:val="24"/>
                <w:lang w:val="zh-TW" w:eastAsia="zh-TW"/>
              </w:rPr>
            </w:pPr>
            <w:r>
              <w:rPr>
                <w:rFonts w:hint="eastAsia" w:ascii="Times New Roman" w:hAnsi="Times New Roman" w:eastAsia="黑体" w:cs="黑体"/>
                <w:kern w:val="2"/>
                <w:sz w:val="24"/>
                <w:szCs w:val="24"/>
                <w:lang w:val="zh-TW" w:eastAsia="zh-CN"/>
              </w:rPr>
              <w:t>迪庆州农业农村局</w:t>
            </w:r>
          </w:p>
        </w:tc>
        <w:tc>
          <w:tcPr>
            <w:tcW w:w="1200" w:type="dxa"/>
            <w:vAlign w:val="center"/>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1620" w:type="dxa"/>
            <w:vMerge w:val="restart"/>
            <w:vAlign w:val="center"/>
          </w:tcPr>
          <w:p>
            <w:pPr>
              <w:pStyle w:val="6"/>
              <w:widowControl w:val="0"/>
              <w:spacing w:after="0" w:line="360" w:lineRule="auto"/>
              <w:jc w:val="center"/>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zh-TW"/>
              </w:rPr>
              <w:t>成员</w:t>
            </w:r>
          </w:p>
        </w:tc>
        <w:tc>
          <w:tcPr>
            <w:tcW w:w="1620"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肖毛</w:t>
            </w:r>
          </w:p>
        </w:tc>
        <w:tc>
          <w:tcPr>
            <w:tcW w:w="1443"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副局长</w:t>
            </w:r>
          </w:p>
        </w:tc>
        <w:tc>
          <w:tcPr>
            <w:tcW w:w="2719"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迪庆州农业农村局</w:t>
            </w:r>
          </w:p>
        </w:tc>
        <w:tc>
          <w:tcPr>
            <w:tcW w:w="1200" w:type="dxa"/>
            <w:vAlign w:val="center"/>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620" w:type="dxa"/>
            <w:vMerge w:val="continue"/>
            <w:vAlign w:val="center"/>
          </w:tcPr>
          <w:p>
            <w:pPr>
              <w:pStyle w:val="6"/>
              <w:widowControl w:val="0"/>
              <w:spacing w:after="0" w:line="360" w:lineRule="auto"/>
              <w:jc w:val="center"/>
              <w:rPr>
                <w:rFonts w:hint="eastAsia" w:ascii="Times New Roman" w:hAnsi="Times New Roman" w:eastAsia="黑体" w:cs="黑体"/>
                <w:kern w:val="2"/>
                <w:sz w:val="24"/>
                <w:szCs w:val="24"/>
                <w:lang w:val="zh-TW"/>
              </w:rPr>
            </w:pPr>
          </w:p>
        </w:tc>
        <w:tc>
          <w:tcPr>
            <w:tcW w:w="1620"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黄文才</w:t>
            </w:r>
          </w:p>
        </w:tc>
        <w:tc>
          <w:tcPr>
            <w:tcW w:w="1443"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畜牧科科长</w:t>
            </w:r>
          </w:p>
        </w:tc>
        <w:tc>
          <w:tcPr>
            <w:tcW w:w="2719"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迪庆州农业农村局</w:t>
            </w:r>
          </w:p>
        </w:tc>
        <w:tc>
          <w:tcPr>
            <w:tcW w:w="1200" w:type="dxa"/>
            <w:vAlign w:val="center"/>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620" w:type="dxa"/>
            <w:vMerge w:val="continue"/>
            <w:vAlign w:val="center"/>
          </w:tcPr>
          <w:p>
            <w:pPr>
              <w:pStyle w:val="6"/>
              <w:widowControl w:val="0"/>
              <w:spacing w:after="0" w:line="360" w:lineRule="auto"/>
              <w:jc w:val="center"/>
              <w:rPr>
                <w:rFonts w:hint="eastAsia" w:ascii="Times New Roman" w:hAnsi="Times New Roman" w:eastAsia="黑体" w:cs="黑体"/>
                <w:kern w:val="2"/>
                <w:sz w:val="24"/>
                <w:szCs w:val="24"/>
                <w:lang w:val="zh-TW"/>
              </w:rPr>
            </w:pPr>
          </w:p>
        </w:tc>
        <w:tc>
          <w:tcPr>
            <w:tcW w:w="1620" w:type="dxa"/>
            <w:vAlign w:val="center"/>
          </w:tcPr>
          <w:p>
            <w:pPr>
              <w:pStyle w:val="6"/>
              <w:widowControl w:val="0"/>
              <w:spacing w:after="0" w:line="24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李锦华</w:t>
            </w:r>
          </w:p>
        </w:tc>
        <w:tc>
          <w:tcPr>
            <w:tcW w:w="1443" w:type="dxa"/>
            <w:vAlign w:val="center"/>
          </w:tcPr>
          <w:p>
            <w:pPr>
              <w:pStyle w:val="6"/>
              <w:widowControl w:val="0"/>
              <w:spacing w:after="0" w:line="24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计财科科长</w:t>
            </w:r>
          </w:p>
        </w:tc>
        <w:tc>
          <w:tcPr>
            <w:tcW w:w="2719" w:type="dxa"/>
            <w:vAlign w:val="center"/>
          </w:tcPr>
          <w:p>
            <w:pPr>
              <w:pStyle w:val="6"/>
              <w:widowControl w:val="0"/>
              <w:spacing w:after="0" w:line="24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迪庆州农业农村局</w:t>
            </w:r>
          </w:p>
        </w:tc>
        <w:tc>
          <w:tcPr>
            <w:tcW w:w="1200" w:type="dxa"/>
            <w:vAlign w:val="center"/>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1620" w:type="dxa"/>
            <w:vMerge w:val="continue"/>
            <w:vAlign w:val="center"/>
          </w:tcPr>
          <w:p>
            <w:pPr>
              <w:pStyle w:val="6"/>
              <w:widowControl w:val="0"/>
              <w:spacing w:after="0" w:line="360" w:lineRule="auto"/>
              <w:jc w:val="center"/>
              <w:rPr>
                <w:rFonts w:hint="eastAsia" w:ascii="Times New Roman" w:hAnsi="Times New Roman" w:eastAsia="黑体" w:cs="黑体"/>
                <w:kern w:val="2"/>
                <w:sz w:val="24"/>
                <w:szCs w:val="24"/>
                <w:lang w:val="zh-TW"/>
              </w:rPr>
            </w:pPr>
          </w:p>
        </w:tc>
        <w:tc>
          <w:tcPr>
            <w:tcW w:w="1620"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墨继光</w:t>
            </w:r>
          </w:p>
        </w:tc>
        <w:tc>
          <w:tcPr>
            <w:tcW w:w="1443"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高级兽医师</w:t>
            </w:r>
          </w:p>
        </w:tc>
        <w:tc>
          <w:tcPr>
            <w:tcW w:w="2719"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迪庆州动物卫生监督所</w:t>
            </w:r>
          </w:p>
        </w:tc>
        <w:tc>
          <w:tcPr>
            <w:tcW w:w="1200" w:type="dxa"/>
            <w:vAlign w:val="center"/>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trPr>
        <w:tc>
          <w:tcPr>
            <w:tcW w:w="1620" w:type="dxa"/>
            <w:vMerge w:val="continue"/>
            <w:vAlign w:val="center"/>
          </w:tcPr>
          <w:p>
            <w:pPr>
              <w:pStyle w:val="6"/>
              <w:widowControl w:val="0"/>
              <w:spacing w:after="0" w:line="360" w:lineRule="auto"/>
              <w:jc w:val="center"/>
              <w:rPr>
                <w:rFonts w:hint="eastAsia" w:ascii="Times New Roman" w:hAnsi="Times New Roman" w:eastAsia="黑体" w:cs="黑体"/>
                <w:kern w:val="2"/>
                <w:sz w:val="24"/>
                <w:szCs w:val="24"/>
                <w:lang w:val="zh-TW"/>
              </w:rPr>
            </w:pPr>
          </w:p>
        </w:tc>
        <w:tc>
          <w:tcPr>
            <w:tcW w:w="1620"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王镇</w:t>
            </w:r>
          </w:p>
        </w:tc>
        <w:tc>
          <w:tcPr>
            <w:tcW w:w="1443"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高级兽医师</w:t>
            </w:r>
          </w:p>
        </w:tc>
        <w:tc>
          <w:tcPr>
            <w:tcW w:w="2719" w:type="dxa"/>
            <w:vAlign w:val="center"/>
          </w:tcPr>
          <w:p>
            <w:pPr>
              <w:pStyle w:val="6"/>
              <w:widowControl w:val="0"/>
              <w:spacing w:after="0" w:line="360" w:lineRule="auto"/>
              <w:jc w:val="center"/>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迪庆州动物疫病预防控制中心</w:t>
            </w:r>
          </w:p>
        </w:tc>
        <w:tc>
          <w:tcPr>
            <w:tcW w:w="1200" w:type="dxa"/>
            <w:vAlign w:val="center"/>
          </w:tcPr>
          <w:p>
            <w:pPr>
              <w:pStyle w:val="6"/>
              <w:widowControl w:val="0"/>
              <w:spacing w:after="0" w:line="360" w:lineRule="auto"/>
              <w:jc w:val="center"/>
              <w:rPr>
                <w:rFonts w:ascii="Times New Roman" w:hAnsi="Times New Roman" w:eastAsia="黑体" w:cs="黑体"/>
                <w:kern w:val="2"/>
                <w:sz w:val="24"/>
                <w:szCs w:val="24"/>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8602" w:type="dxa"/>
            <w:gridSpan w:val="5"/>
          </w:tcPr>
          <w:p>
            <w:pPr>
              <w:pStyle w:val="6"/>
              <w:widowControl w:val="0"/>
              <w:spacing w:after="0" w:line="360" w:lineRule="auto"/>
              <w:jc w:val="both"/>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rPr>
              <w:t>报告撰写人（签字）：</w:t>
            </w:r>
          </w:p>
          <w:p>
            <w:pPr>
              <w:pStyle w:val="6"/>
              <w:widowControl w:val="0"/>
              <w:spacing w:after="0" w:line="360" w:lineRule="auto"/>
              <w:jc w:val="both"/>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eastAsia="zh-CN"/>
              </w:rPr>
              <w:t>冷昕云</w:t>
            </w:r>
          </w:p>
          <w:p>
            <w:pPr>
              <w:pStyle w:val="6"/>
              <w:widowControl w:val="0"/>
              <w:wordWrap w:val="0"/>
              <w:spacing w:after="0" w:line="360" w:lineRule="auto"/>
              <w:jc w:val="right"/>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en-US" w:eastAsia="zh-CN"/>
              </w:rPr>
              <w:t>2020</w:t>
            </w:r>
            <w:r>
              <w:rPr>
                <w:rFonts w:hint="eastAsia" w:ascii="Times New Roman" w:hAnsi="Times New Roman" w:eastAsia="黑体" w:cs="黑体"/>
                <w:kern w:val="2"/>
                <w:sz w:val="24"/>
                <w:szCs w:val="24"/>
                <w:lang w:val="zh-TW"/>
              </w:rPr>
              <w:t xml:space="preserve">年 </w:t>
            </w:r>
            <w:r>
              <w:rPr>
                <w:rFonts w:hint="eastAsia" w:ascii="Times New Roman" w:hAnsi="Times New Roman" w:eastAsia="黑体" w:cs="黑体"/>
                <w:kern w:val="2"/>
                <w:sz w:val="24"/>
                <w:szCs w:val="24"/>
                <w:lang w:val="en-US" w:eastAsia="zh-CN"/>
              </w:rPr>
              <w:t>5</w:t>
            </w:r>
            <w:r>
              <w:rPr>
                <w:rFonts w:hint="eastAsia" w:ascii="Times New Roman" w:hAnsi="Times New Roman" w:eastAsia="黑体" w:cs="黑体"/>
                <w:kern w:val="2"/>
                <w:sz w:val="24"/>
                <w:szCs w:val="24"/>
                <w:lang w:val="zh-TW"/>
              </w:rPr>
              <w:t xml:space="preserve"> 月 </w:t>
            </w:r>
            <w:r>
              <w:rPr>
                <w:rFonts w:hint="eastAsia" w:ascii="Times New Roman" w:hAnsi="Times New Roman" w:eastAsia="黑体" w:cs="黑体"/>
                <w:kern w:val="2"/>
                <w:sz w:val="24"/>
                <w:szCs w:val="24"/>
                <w:lang w:val="en-US" w:eastAsia="zh-CN"/>
              </w:rPr>
              <w:t>26</w:t>
            </w:r>
            <w:r>
              <w:rPr>
                <w:rFonts w:hint="eastAsia" w:ascii="Times New Roman" w:hAnsi="Times New Roman" w:eastAsia="黑体" w:cs="黑体"/>
                <w:kern w:val="2"/>
                <w:sz w:val="24"/>
                <w:szCs w:val="24"/>
                <w:lang w:val="zh-TW"/>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1" w:hRule="atLeast"/>
        </w:trPr>
        <w:tc>
          <w:tcPr>
            <w:tcW w:w="8602" w:type="dxa"/>
            <w:gridSpan w:val="5"/>
          </w:tcPr>
          <w:p>
            <w:pPr>
              <w:pStyle w:val="6"/>
              <w:widowControl w:val="0"/>
              <w:spacing w:after="0" w:line="360" w:lineRule="auto"/>
              <w:jc w:val="both"/>
              <w:rPr>
                <w:rFonts w:hint="eastAsia" w:ascii="Times New Roman" w:hAnsi="Times New Roman" w:eastAsia="黑体" w:cs="黑体"/>
                <w:kern w:val="2"/>
                <w:sz w:val="24"/>
                <w:szCs w:val="24"/>
                <w:lang w:val="zh-TW" w:eastAsia="zh-CN"/>
              </w:rPr>
            </w:pPr>
            <w:r>
              <w:rPr>
                <w:rFonts w:hint="eastAsia" w:ascii="Times New Roman" w:hAnsi="Times New Roman" w:eastAsia="黑体" w:cs="黑体"/>
                <w:kern w:val="2"/>
                <w:sz w:val="24"/>
                <w:szCs w:val="24"/>
                <w:lang w:val="zh-TW"/>
              </w:rPr>
              <w:t>评价工作负责人（签字）：</w:t>
            </w:r>
            <w:r>
              <w:rPr>
                <w:rFonts w:hint="eastAsia" w:ascii="Times New Roman" w:hAnsi="Times New Roman" w:eastAsia="黑体" w:cs="黑体"/>
                <w:kern w:val="2"/>
                <w:sz w:val="24"/>
                <w:szCs w:val="24"/>
                <w:lang w:val="zh-TW" w:eastAsia="zh-CN"/>
              </w:rPr>
              <w:t>李锦华</w:t>
            </w:r>
          </w:p>
          <w:p>
            <w:pPr>
              <w:pStyle w:val="6"/>
              <w:widowControl w:val="0"/>
              <w:spacing w:after="0" w:line="360" w:lineRule="auto"/>
              <w:jc w:val="both"/>
              <w:rPr>
                <w:rFonts w:ascii="Times New Roman" w:hAnsi="Times New Roman" w:eastAsia="黑体" w:cs="黑体"/>
                <w:kern w:val="2"/>
                <w:sz w:val="24"/>
                <w:szCs w:val="24"/>
                <w:lang w:val="zh-TW"/>
              </w:rPr>
            </w:pPr>
          </w:p>
          <w:p>
            <w:pPr>
              <w:pStyle w:val="6"/>
              <w:widowControl w:val="0"/>
              <w:spacing w:after="0" w:line="360" w:lineRule="auto"/>
              <w:jc w:val="both"/>
              <w:rPr>
                <w:rFonts w:ascii="Times New Roman" w:hAnsi="Times New Roman" w:eastAsia="黑体" w:cs="黑体"/>
                <w:kern w:val="2"/>
                <w:sz w:val="24"/>
                <w:szCs w:val="24"/>
                <w:lang w:val="zh-TW"/>
              </w:rPr>
            </w:pPr>
          </w:p>
          <w:p>
            <w:pPr>
              <w:pStyle w:val="6"/>
              <w:widowControl w:val="0"/>
              <w:wordWrap w:val="0"/>
              <w:spacing w:after="0" w:line="360" w:lineRule="auto"/>
              <w:jc w:val="right"/>
              <w:rPr>
                <w:rFonts w:ascii="Times New Roman" w:hAnsi="Times New Roman" w:eastAsia="黑体" w:cs="黑体"/>
                <w:kern w:val="2"/>
                <w:sz w:val="24"/>
                <w:szCs w:val="24"/>
                <w:lang w:val="zh-TW"/>
              </w:rPr>
            </w:pPr>
            <w:r>
              <w:rPr>
                <w:rFonts w:hint="eastAsia" w:ascii="Times New Roman" w:hAnsi="Times New Roman" w:eastAsia="黑体" w:cs="黑体"/>
                <w:kern w:val="2"/>
                <w:sz w:val="24"/>
                <w:szCs w:val="24"/>
                <w:lang w:val="en-US" w:eastAsia="zh-CN"/>
              </w:rPr>
              <w:t>2020</w:t>
            </w:r>
            <w:r>
              <w:rPr>
                <w:rFonts w:hint="eastAsia" w:ascii="Times New Roman" w:hAnsi="Times New Roman" w:eastAsia="黑体" w:cs="黑体"/>
                <w:kern w:val="2"/>
                <w:sz w:val="24"/>
                <w:szCs w:val="24"/>
                <w:lang w:val="zh-TW"/>
              </w:rPr>
              <w:t xml:space="preserve">年 </w:t>
            </w:r>
            <w:r>
              <w:rPr>
                <w:rFonts w:hint="eastAsia" w:ascii="Times New Roman" w:hAnsi="Times New Roman" w:eastAsia="黑体" w:cs="黑体"/>
                <w:kern w:val="2"/>
                <w:sz w:val="24"/>
                <w:szCs w:val="24"/>
                <w:lang w:val="en-US" w:eastAsia="zh-CN"/>
              </w:rPr>
              <w:t>5</w:t>
            </w:r>
            <w:r>
              <w:rPr>
                <w:rFonts w:hint="eastAsia" w:ascii="Times New Roman" w:hAnsi="Times New Roman" w:eastAsia="黑体" w:cs="黑体"/>
                <w:kern w:val="2"/>
                <w:sz w:val="24"/>
                <w:szCs w:val="24"/>
                <w:lang w:val="zh-TW"/>
              </w:rPr>
              <w:t xml:space="preserve"> 月 </w:t>
            </w:r>
            <w:r>
              <w:rPr>
                <w:rFonts w:hint="eastAsia" w:ascii="Times New Roman" w:hAnsi="Times New Roman" w:eastAsia="黑体" w:cs="黑体"/>
                <w:kern w:val="2"/>
                <w:sz w:val="24"/>
                <w:szCs w:val="24"/>
                <w:lang w:val="en-US" w:eastAsia="zh-CN"/>
              </w:rPr>
              <w:t>26</w:t>
            </w:r>
            <w:r>
              <w:rPr>
                <w:rFonts w:hint="eastAsia" w:ascii="Times New Roman" w:hAnsi="Times New Roman" w:eastAsia="黑体" w:cs="黑体"/>
                <w:kern w:val="2"/>
                <w:sz w:val="24"/>
                <w:szCs w:val="24"/>
                <w:lang w:val="zh-TW"/>
              </w:rPr>
              <w:t xml:space="preserve"> 日</w:t>
            </w:r>
          </w:p>
        </w:tc>
      </w:tr>
    </w:tbl>
    <w:p>
      <w:pPr>
        <w:pStyle w:val="6"/>
        <w:widowControl w:val="0"/>
        <w:spacing w:after="0" w:line="360" w:lineRule="auto"/>
        <w:ind w:firstLine="566" w:firstLineChars="236"/>
        <w:jc w:val="both"/>
        <w:rPr>
          <w:rFonts w:ascii="Times New Roman" w:hAnsi="Times New Roman" w:eastAsia="PMingLiU" w:cs="Times New Roman"/>
          <w:kern w:val="2"/>
          <w:sz w:val="24"/>
          <w:szCs w:val="24"/>
          <w:lang w:val="zh-TW" w:eastAsia="zh-TW"/>
        </w:rPr>
      </w:pPr>
    </w:p>
    <w:p>
      <w:pPr>
        <w:pStyle w:val="6"/>
        <w:widowControl w:val="0"/>
        <w:spacing w:after="0" w:line="360" w:lineRule="auto"/>
        <w:jc w:val="both"/>
        <w:rPr>
          <w:rFonts w:ascii="Times New Roman" w:hAnsi="Times New Roman" w:cs="Times New Roman"/>
          <w:kern w:val="2"/>
          <w:sz w:val="24"/>
          <w:szCs w:val="24"/>
          <w:lang w:val="zh-TW"/>
        </w:rPr>
        <w:sectPr>
          <w:pgSz w:w="11906" w:h="16838"/>
          <w:pgMar w:top="1440" w:right="1800" w:bottom="1440" w:left="1800" w:header="851" w:footer="992" w:gutter="0"/>
          <w:cols w:space="425" w:num="1"/>
          <w:docGrid w:type="lines" w:linePitch="312" w:charSpace="0"/>
        </w:sectPr>
      </w:pPr>
    </w:p>
    <w:p>
      <w:pPr>
        <w:pStyle w:val="5"/>
        <w:jc w:val="center"/>
        <w:rPr>
          <w:rFonts w:ascii="Times New Roman" w:hAnsi="Times New Roman" w:cs="Times New Roman"/>
          <w:color w:val="auto"/>
        </w:rPr>
      </w:pPr>
      <w:r>
        <w:rPr>
          <w:rFonts w:hint="eastAsia" w:ascii="Times New Roman" w:hAnsi="Times New Roman" w:cs="宋体"/>
          <w:color w:val="auto"/>
          <w:lang w:val="zh-CN"/>
        </w:rPr>
        <w:t>目录</w:t>
      </w:r>
    </w:p>
    <w:p>
      <w:pPr>
        <w:spacing w:line="440" w:lineRule="exact"/>
        <w:ind w:firstLine="420" w:firstLineChars="200"/>
        <w:jc w:val="left"/>
        <w:rPr>
          <w:rFonts w:ascii="黑体" w:hAnsi="黑体" w:eastAsia="黑体"/>
          <w:szCs w:val="32"/>
        </w:rPr>
      </w:pPr>
      <w:r>
        <w:rPr>
          <w:rFonts w:hint="eastAsia" w:ascii="黑体" w:hAnsi="黑体" w:eastAsia="黑体"/>
          <w:szCs w:val="32"/>
        </w:rPr>
        <w:t>摘要</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一、 项目基本情况</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（一）项目立项背景</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（二）项目立项依据 </w:t>
      </w:r>
    </w:p>
    <w:p>
      <w:pPr>
        <w:spacing w:line="440" w:lineRule="exact"/>
        <w:ind w:firstLine="420" w:firstLineChars="200"/>
        <w:jc w:val="left"/>
        <w:rPr>
          <w:rFonts w:ascii="黑体" w:hAnsi="黑体" w:eastAsia="黑体"/>
          <w:szCs w:val="32"/>
        </w:rPr>
      </w:pPr>
      <w:r>
        <w:rPr>
          <w:rFonts w:hint="eastAsia" w:ascii="黑体" w:hAnsi="黑体" w:eastAsia="黑体"/>
          <w:szCs w:val="32"/>
        </w:rPr>
        <w:t>（三）项目实施内容</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（四）项目实施计划及完成情况</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（五）项目的组织及管理</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（六）项目绩效目标 </w:t>
      </w:r>
    </w:p>
    <w:p>
      <w:pPr>
        <w:spacing w:line="440" w:lineRule="exact"/>
        <w:ind w:firstLine="420" w:firstLineChars="200"/>
        <w:jc w:val="left"/>
        <w:rPr>
          <w:rFonts w:ascii="黑体" w:hAnsi="黑体" w:eastAsia="黑体"/>
          <w:szCs w:val="32"/>
        </w:rPr>
      </w:pPr>
      <w:r>
        <w:rPr>
          <w:rFonts w:hint="eastAsia" w:ascii="黑体" w:hAnsi="黑体" w:eastAsia="黑体"/>
          <w:szCs w:val="32"/>
        </w:rPr>
        <w:t>二、绩效评价工作情况</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(一)评价的目的和依据</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(二)绩效评价工作方案制定过程</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(三)绩效评价原则、评价方法等</w:t>
      </w:r>
      <w:r>
        <w:rPr>
          <w:rFonts w:hint="eastAsia" w:ascii="黑体" w:hAnsi="黑体" w:eastAsia="黑体"/>
          <w:szCs w:val="32"/>
        </w:rPr>
        <w:tab/>
      </w:r>
    </w:p>
    <w:p>
      <w:pPr>
        <w:spacing w:line="440" w:lineRule="exact"/>
        <w:ind w:firstLine="420" w:firstLineChars="200"/>
        <w:jc w:val="left"/>
        <w:rPr>
          <w:rFonts w:ascii="黑体" w:hAnsi="黑体" w:eastAsia="黑体"/>
          <w:szCs w:val="32"/>
        </w:rPr>
      </w:pPr>
      <w:r>
        <w:rPr>
          <w:rFonts w:hint="eastAsia" w:ascii="黑体" w:hAnsi="黑体" w:eastAsia="黑体"/>
          <w:szCs w:val="32"/>
        </w:rPr>
        <w:t>(四)绩效评价实施过程</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三、评价结论及绩效分析 </w:t>
      </w:r>
    </w:p>
    <w:p>
      <w:pPr>
        <w:spacing w:line="440" w:lineRule="exact"/>
        <w:ind w:firstLine="420" w:firstLineChars="200"/>
        <w:jc w:val="left"/>
        <w:rPr>
          <w:rFonts w:ascii="黑体" w:hAnsi="黑体" w:eastAsia="黑体"/>
          <w:szCs w:val="32"/>
        </w:rPr>
      </w:pPr>
      <w:r>
        <w:rPr>
          <w:rFonts w:hint="eastAsia" w:ascii="黑体" w:hAnsi="黑体" w:eastAsia="黑体"/>
          <w:szCs w:val="32"/>
        </w:rPr>
        <w:t>(一)评价结论</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(二)绩效分析</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四、项目主要经验及做法、存在的问题和建议 </w:t>
      </w:r>
    </w:p>
    <w:p>
      <w:pPr>
        <w:spacing w:line="440" w:lineRule="exact"/>
        <w:ind w:firstLine="420" w:firstLineChars="200"/>
        <w:jc w:val="left"/>
        <w:rPr>
          <w:rFonts w:ascii="黑体" w:hAnsi="黑体" w:eastAsia="黑体"/>
          <w:szCs w:val="32"/>
        </w:rPr>
      </w:pPr>
      <w:r>
        <w:rPr>
          <w:rFonts w:hint="eastAsia" w:ascii="黑体" w:hAnsi="黑体" w:eastAsia="黑体"/>
          <w:szCs w:val="32"/>
        </w:rPr>
        <w:t>(一)主要经验及做法</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(二)存在的问题</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 xml:space="preserve">(三)建议和改进措施 </w:t>
      </w:r>
    </w:p>
    <w:p>
      <w:pPr>
        <w:spacing w:line="440" w:lineRule="exact"/>
        <w:ind w:firstLine="420" w:firstLineChars="200"/>
        <w:jc w:val="left"/>
        <w:rPr>
          <w:rFonts w:ascii="黑体" w:hAnsi="黑体" w:eastAsia="黑体"/>
          <w:szCs w:val="32"/>
        </w:rPr>
      </w:pPr>
      <w:r>
        <w:rPr>
          <w:rFonts w:hint="eastAsia" w:ascii="黑体" w:hAnsi="黑体" w:eastAsia="黑体"/>
          <w:szCs w:val="32"/>
        </w:rPr>
        <w:t>五、附件</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附件一：指标体系</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附件二：基础数据表</w:t>
      </w:r>
      <w:r>
        <w:rPr>
          <w:rFonts w:hint="eastAsia" w:ascii="黑体" w:hAnsi="黑体" w:eastAsia="黑体"/>
          <w:szCs w:val="32"/>
        </w:rPr>
        <w:tab/>
      </w:r>
      <w:r>
        <w:rPr>
          <w:rFonts w:hint="eastAsia" w:ascii="黑体" w:hAnsi="黑体" w:eastAsia="黑体"/>
          <w:szCs w:val="32"/>
        </w:rPr>
        <w:t xml:space="preserve"> </w:t>
      </w:r>
    </w:p>
    <w:p>
      <w:pPr>
        <w:spacing w:line="440" w:lineRule="exact"/>
        <w:ind w:firstLine="420" w:firstLineChars="200"/>
        <w:jc w:val="left"/>
        <w:rPr>
          <w:rFonts w:ascii="黑体" w:hAnsi="黑体" w:eastAsia="黑体"/>
          <w:szCs w:val="32"/>
        </w:rPr>
      </w:pPr>
      <w:r>
        <w:rPr>
          <w:rFonts w:hint="eastAsia" w:ascii="黑体" w:hAnsi="黑体" w:eastAsia="黑体"/>
          <w:szCs w:val="32"/>
        </w:rPr>
        <w:tab/>
      </w:r>
      <w:r>
        <w:rPr>
          <w:rFonts w:hint="eastAsia" w:ascii="黑体" w:hAnsi="黑体" w:eastAsia="黑体"/>
          <w:szCs w:val="32"/>
        </w:rPr>
        <w:t xml:space="preserve">  </w:t>
      </w:r>
    </w:p>
    <w:p>
      <w:pPr>
        <w:spacing w:line="540" w:lineRule="exact"/>
        <w:rPr>
          <w:rFonts w:ascii="方正小标宋_GBK" w:hAnsi="黑体" w:eastAsia="方正小标宋_GBK"/>
          <w:szCs w:val="32"/>
        </w:rPr>
      </w:pPr>
    </w:p>
    <w:p>
      <w:pPr>
        <w:spacing w:line="440" w:lineRule="exact"/>
        <w:jc w:val="center"/>
        <w:rPr>
          <w:rFonts w:hint="eastAsia" w:ascii="方正小标宋_GBK" w:eastAsia="方正小标宋_GBK"/>
          <w:sz w:val="32"/>
          <w:szCs w:val="32"/>
          <w:lang w:eastAsia="zh-CN"/>
        </w:rPr>
      </w:pPr>
    </w:p>
    <w:p>
      <w:pPr>
        <w:spacing w:line="440" w:lineRule="exact"/>
        <w:jc w:val="center"/>
        <w:rPr>
          <w:rFonts w:hint="eastAsia" w:ascii="方正小标宋_GBK" w:eastAsia="方正小标宋_GBK"/>
          <w:sz w:val="32"/>
          <w:szCs w:val="32"/>
          <w:lang w:eastAsia="zh-CN"/>
        </w:rPr>
      </w:pPr>
    </w:p>
    <w:p>
      <w:pPr>
        <w:spacing w:line="440" w:lineRule="exact"/>
        <w:jc w:val="center"/>
        <w:rPr>
          <w:rFonts w:hint="eastAsia" w:ascii="方正小标宋_GBK" w:eastAsia="方正小标宋_GBK"/>
          <w:sz w:val="32"/>
          <w:szCs w:val="32"/>
          <w:lang w:eastAsia="zh-CN"/>
        </w:rPr>
      </w:pPr>
    </w:p>
    <w:p>
      <w:pPr>
        <w:pStyle w:val="2"/>
        <w:bidi w:val="0"/>
        <w:jc w:val="center"/>
        <w:rPr>
          <w:rFonts w:hint="eastAsia"/>
        </w:rPr>
      </w:pPr>
      <w:r>
        <w:rPr>
          <w:rFonts w:hint="eastAsia"/>
          <w:lang w:eastAsia="zh-CN"/>
        </w:rPr>
        <w:t>迪庆州</w:t>
      </w:r>
      <w:r>
        <w:rPr>
          <w:rFonts w:hint="eastAsia"/>
          <w:lang w:val="en-US" w:eastAsia="zh-CN"/>
        </w:rPr>
        <w:t>2019年重大动物疫病防控</w:t>
      </w:r>
      <w:r>
        <w:rPr>
          <w:rFonts w:hint="eastAsia"/>
        </w:rPr>
        <w:t>项目</w:t>
      </w:r>
    </w:p>
    <w:p>
      <w:pPr>
        <w:pStyle w:val="2"/>
        <w:bidi w:val="0"/>
        <w:jc w:val="center"/>
      </w:pPr>
      <w:r>
        <w:rPr>
          <w:rFonts w:hint="eastAsia"/>
        </w:rPr>
        <w:t>支出绩效自评报告</w:t>
      </w:r>
    </w:p>
    <w:p>
      <w:pPr>
        <w:spacing w:line="440" w:lineRule="exact"/>
        <w:ind w:firstLine="640" w:firstLineChars="200"/>
        <w:jc w:val="left"/>
        <w:rPr>
          <w:rFonts w:ascii="黑体" w:hAnsi="黑体" w:eastAsia="黑体"/>
          <w:sz w:val="32"/>
          <w:szCs w:val="32"/>
        </w:rPr>
      </w:pP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小标宋_GBK" w:hAnsi="黑体" w:eastAsia="方正小标宋_GBK"/>
          <w:sz w:val="32"/>
          <w:szCs w:val="32"/>
        </w:rPr>
        <w:t>摘</w:t>
      </w:r>
      <w:r>
        <w:rPr>
          <w:rFonts w:hint="eastAsia" w:ascii="方正小标宋_GBK" w:hAnsi="黑体" w:eastAsia="方正小标宋_GBK"/>
          <w:sz w:val="32"/>
          <w:szCs w:val="32"/>
          <w:lang w:val="en-US" w:eastAsia="zh-CN"/>
        </w:rPr>
        <w:t xml:space="preserve">  </w:t>
      </w:r>
      <w:r>
        <w:rPr>
          <w:rFonts w:hint="eastAsia" w:ascii="方正小标宋_GBK" w:hAnsi="黑体" w:eastAsia="方正小标宋_GBK"/>
          <w:sz w:val="32"/>
          <w:szCs w:val="32"/>
        </w:rPr>
        <w:t>要</w:t>
      </w:r>
      <w:r>
        <w:rPr>
          <w:rFonts w:hint="eastAsia" w:ascii="方正小标宋_GBK" w:hAnsi="黑体" w:eastAsia="方正小标宋_GBK"/>
          <w:sz w:val="32"/>
          <w:szCs w:val="32"/>
          <w:lang w:eastAsia="zh-CN"/>
        </w:rPr>
        <w:t>：</w:t>
      </w:r>
      <w:r>
        <w:rPr>
          <w:rFonts w:hint="eastAsia" w:ascii="方正仿宋_GBK" w:hAnsi="方正仿宋_GBK" w:eastAsia="方正仿宋_GBK" w:cs="方正仿宋_GBK"/>
          <w:i w:val="0"/>
          <w:caps w:val="0"/>
          <w:color w:val="333333"/>
          <w:spacing w:val="0"/>
          <w:sz w:val="32"/>
          <w:szCs w:val="32"/>
          <w:shd w:val="clear" w:fill="FFFFFF"/>
        </w:rPr>
        <w:t>为切实加强我</w:t>
      </w:r>
      <w:r>
        <w:rPr>
          <w:rFonts w:hint="eastAsia" w:ascii="方正仿宋_GBK" w:hAnsi="方正仿宋_GBK" w:eastAsia="方正仿宋_GBK" w:cs="方正仿宋_GBK"/>
          <w:i w:val="0"/>
          <w:caps w:val="0"/>
          <w:color w:val="333333"/>
          <w:spacing w:val="0"/>
          <w:sz w:val="32"/>
          <w:szCs w:val="32"/>
          <w:shd w:val="clear" w:fill="FFFFFF"/>
          <w:lang w:eastAsia="zh-CN"/>
        </w:rPr>
        <w:t>州</w:t>
      </w:r>
      <w:r>
        <w:rPr>
          <w:rFonts w:hint="eastAsia" w:ascii="方正仿宋_GBK" w:hAnsi="方正仿宋_GBK" w:eastAsia="方正仿宋_GBK" w:cs="方正仿宋_GBK"/>
          <w:i w:val="0"/>
          <w:caps w:val="0"/>
          <w:color w:val="333333"/>
          <w:spacing w:val="0"/>
          <w:sz w:val="32"/>
          <w:szCs w:val="32"/>
          <w:shd w:val="clear" w:fill="FFFFFF"/>
        </w:rPr>
        <w:t>重大动物疫病防控工作，保障畜牧业健康发展和畜禽产品质量安全，根据《中华人民共和国动物防疫法》、《重大动物疫情应急条例》、《郴州市重大动物疫病防控工作目标管理责任状》等法律法规要求，为认真做好重大动物疫情核查和报告、疫情扑灭、监督执法、疫情监测、动物防疫物资储备等工作，通过201</w:t>
      </w:r>
      <w:r>
        <w:rPr>
          <w:rFonts w:hint="eastAsia" w:ascii="方正仿宋_GBK" w:hAnsi="方正仿宋_GBK" w:eastAsia="方正仿宋_GBK" w:cs="方正仿宋_GBK"/>
          <w:i w:val="0"/>
          <w:caps w:val="0"/>
          <w:color w:val="333333"/>
          <w:spacing w:val="0"/>
          <w:sz w:val="32"/>
          <w:szCs w:val="32"/>
          <w:shd w:val="clear" w:fill="FFFFFF"/>
          <w:lang w:val="en-US" w:eastAsia="zh-CN"/>
        </w:rPr>
        <w:t>9</w:t>
      </w:r>
      <w:r>
        <w:rPr>
          <w:rFonts w:hint="eastAsia" w:ascii="方正仿宋_GBK" w:hAnsi="方正仿宋_GBK" w:eastAsia="方正仿宋_GBK" w:cs="方正仿宋_GBK"/>
          <w:i w:val="0"/>
          <w:caps w:val="0"/>
          <w:color w:val="333333"/>
          <w:spacing w:val="0"/>
          <w:sz w:val="32"/>
          <w:szCs w:val="32"/>
          <w:shd w:val="clear" w:fill="FFFFFF"/>
        </w:rPr>
        <w:t>年度项目绩效目标申报，</w:t>
      </w:r>
      <w:r>
        <w:rPr>
          <w:rFonts w:hint="eastAsia" w:ascii="方正仿宋_GBK" w:hAnsi="方正仿宋_GBK" w:eastAsia="方正仿宋_GBK" w:cs="方正仿宋_GBK"/>
          <w:i w:val="0"/>
          <w:caps w:val="0"/>
          <w:color w:val="333333"/>
          <w:spacing w:val="0"/>
          <w:sz w:val="32"/>
          <w:szCs w:val="32"/>
          <w:shd w:val="clear" w:fill="FFFFFF"/>
          <w:lang w:eastAsia="zh-CN"/>
        </w:rPr>
        <w:t>州</w:t>
      </w:r>
      <w:r>
        <w:rPr>
          <w:rFonts w:hint="eastAsia" w:ascii="方正仿宋_GBK" w:hAnsi="方正仿宋_GBK" w:eastAsia="方正仿宋_GBK" w:cs="方正仿宋_GBK"/>
          <w:i w:val="0"/>
          <w:caps w:val="0"/>
          <w:color w:val="333333"/>
          <w:spacing w:val="0"/>
          <w:sz w:val="32"/>
          <w:szCs w:val="32"/>
          <w:shd w:val="clear" w:fill="FFFFFF"/>
        </w:rPr>
        <w:t>财政安排全县重大动物疫病防控工作经费</w:t>
      </w:r>
      <w:r>
        <w:rPr>
          <w:rFonts w:hint="eastAsia" w:ascii="方正仿宋_GBK" w:hAnsi="方正仿宋_GBK" w:eastAsia="方正仿宋_GBK" w:cs="方正仿宋_GBK"/>
          <w:i w:val="0"/>
          <w:caps w:val="0"/>
          <w:color w:val="333333"/>
          <w:spacing w:val="0"/>
          <w:sz w:val="32"/>
          <w:szCs w:val="32"/>
          <w:shd w:val="clear" w:fill="FFFFFF"/>
          <w:lang w:val="en-US" w:eastAsia="zh-CN"/>
        </w:rPr>
        <w:t>100</w:t>
      </w:r>
      <w:r>
        <w:rPr>
          <w:rFonts w:hint="eastAsia" w:ascii="方正仿宋_GBK" w:hAnsi="方正仿宋_GBK" w:eastAsia="方正仿宋_GBK" w:cs="方正仿宋_GBK"/>
          <w:i w:val="0"/>
          <w:caps w:val="0"/>
          <w:color w:val="333333"/>
          <w:spacing w:val="0"/>
          <w:sz w:val="32"/>
          <w:szCs w:val="32"/>
          <w:shd w:val="clear" w:fill="FFFFFF"/>
        </w:rPr>
        <w:t>万元。</w:t>
      </w:r>
    </w:p>
    <w:p>
      <w:pPr>
        <w:spacing w:line="440" w:lineRule="exact"/>
        <w:jc w:val="center"/>
        <w:rPr>
          <w:rFonts w:hint="eastAsia" w:ascii="方正小标宋_GBK" w:hAnsi="黑体" w:eastAsia="方正小标宋_GBK"/>
          <w:sz w:val="48"/>
          <w:szCs w:val="48"/>
          <w:lang w:eastAsia="zh-CN"/>
        </w:rPr>
      </w:pPr>
    </w:p>
    <w:p>
      <w:pPr>
        <w:keepNext w:val="0"/>
        <w:keepLines w:val="0"/>
        <w:pageBreakBefore w:val="0"/>
        <w:widowControl w:val="0"/>
        <w:numPr>
          <w:ilvl w:val="0"/>
          <w:numId w:val="1"/>
        </w:numPr>
        <w:kinsoku/>
        <w:wordWrap/>
        <w:overflowPunct/>
        <w:autoSpaceDE/>
        <w:autoSpaceDN/>
        <w:bidi w:val="0"/>
        <w:adjustRightInd/>
        <w:snapToGrid/>
        <w:spacing w:line="360" w:lineRule="auto"/>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项目概况：</w:t>
      </w:r>
    </w:p>
    <w:p>
      <w:pPr>
        <w:keepNext w:val="0"/>
        <w:keepLines w:val="0"/>
        <w:pageBreakBefore w:val="0"/>
        <w:widowControl w:val="0"/>
        <w:numPr>
          <w:numId w:val="0"/>
        </w:numPr>
        <w:kinsoku/>
        <w:wordWrap/>
        <w:overflowPunct/>
        <w:autoSpaceDE/>
        <w:autoSpaceDN/>
        <w:bidi w:val="0"/>
        <w:adjustRightInd/>
        <w:snapToGrid/>
        <w:spacing w:line="360" w:lineRule="auto"/>
        <w:ind w:firstLine="643" w:firstLineChars="200"/>
        <w:jc w:val="left"/>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lang w:eastAsia="zh-CN"/>
        </w:rPr>
        <w:t>（一）</w:t>
      </w:r>
      <w:r>
        <w:rPr>
          <w:rFonts w:hint="eastAsia" w:ascii="方正仿宋_GBK" w:hAnsi="方正仿宋_GBK" w:eastAsia="方正仿宋_GBK" w:cs="方正仿宋_GBK"/>
          <w:b/>
          <w:bCs/>
          <w:sz w:val="32"/>
          <w:szCs w:val="32"/>
        </w:rPr>
        <w:t>立项背景及目的</w:t>
      </w: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default" w:ascii="方正仿宋_GBK" w:hAnsi="方正仿宋_GBK" w:eastAsia="方正仿宋_GBK" w:cs="方正仿宋_GBK"/>
          <w:i w:val="0"/>
          <w:caps w:val="0"/>
          <w:color w:val="333333"/>
          <w:spacing w:val="0"/>
          <w:sz w:val="32"/>
          <w:szCs w:val="32"/>
          <w:shd w:val="clear" w:fill="FFFFFF"/>
          <w:lang w:val="en-US" w:eastAsia="zh-CN"/>
        </w:rPr>
      </w:pPr>
      <w:r>
        <w:rPr>
          <w:rFonts w:hint="eastAsia" w:ascii="方正仿宋_GBK" w:hAnsi="方正仿宋_GBK" w:eastAsia="方正仿宋_GBK" w:cs="方正仿宋_GBK"/>
          <w:i w:val="0"/>
          <w:caps w:val="0"/>
          <w:color w:val="333333"/>
          <w:spacing w:val="0"/>
          <w:sz w:val="32"/>
          <w:szCs w:val="32"/>
          <w:shd w:val="clear" w:fill="FFFFFF"/>
        </w:rPr>
        <w:t>按云农牧[2017]26号《云南省农业厅  云南省财政厅关于贯彻落实国家暂不实施猪瘟和高致病性猪蓝耳病强制免疫政策意见的通知》要求。</w:t>
      </w:r>
      <w:r>
        <w:rPr>
          <w:rFonts w:hint="eastAsia" w:ascii="方正仿宋_GBK" w:hAnsi="方正仿宋_GBK" w:eastAsia="方正仿宋_GBK" w:cs="方正仿宋_GBK"/>
          <w:i w:val="0"/>
          <w:caps w:val="0"/>
          <w:color w:val="333333"/>
          <w:spacing w:val="0"/>
          <w:sz w:val="32"/>
          <w:szCs w:val="32"/>
          <w:shd w:val="clear" w:fill="FFFFFF"/>
          <w:lang w:eastAsia="zh-CN"/>
        </w:rPr>
        <w:t>猪瘟、猪蓝耳病不做为国家强制免疫病种。但经过实际调查，猪瘟、猪蓝耳病在我县仍有零星发病，不能按国家要求退出猪瘟、蓝耳病强制免疫。为切实做好</w:t>
      </w:r>
      <w:r>
        <w:rPr>
          <w:rFonts w:hint="eastAsia" w:ascii="方正仿宋_GBK" w:hAnsi="方正仿宋_GBK" w:eastAsia="方正仿宋_GBK" w:cs="方正仿宋_GBK"/>
          <w:i w:val="0"/>
          <w:caps w:val="0"/>
          <w:color w:val="333333"/>
          <w:spacing w:val="0"/>
          <w:sz w:val="32"/>
          <w:szCs w:val="32"/>
          <w:shd w:val="clear" w:fill="FFFFFF"/>
          <w:lang w:val="en-US" w:eastAsia="zh-CN"/>
        </w:rPr>
        <w:t>2019年秋季重大动物疫病防控工作，集中采购猪瘟、猪蓝耳病疫苗，结合猪口蹄疫集中免疫。继续做好“321”防疫技术，确保重大动物免疫密度达到100%，免疫抗体监测合格率达到70%以上。</w:t>
      </w:r>
    </w:p>
    <w:p>
      <w:pPr>
        <w:keepNext w:val="0"/>
        <w:keepLines w:val="0"/>
        <w:pageBreakBefore w:val="0"/>
        <w:widowControl w:val="0"/>
        <w:kinsoku/>
        <w:wordWrap/>
        <w:overflowPunct/>
        <w:autoSpaceDE/>
        <w:autoSpaceDN/>
        <w:bidi w:val="0"/>
        <w:adjustRightInd/>
        <w:snapToGrid/>
        <w:spacing w:line="360" w:lineRule="auto"/>
        <w:ind w:firstLine="643" w:firstLineChars="200"/>
        <w:jc w:val="left"/>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lang w:eastAsia="zh-CN"/>
        </w:rPr>
        <w:t>（二）</w:t>
      </w:r>
      <w:r>
        <w:rPr>
          <w:rFonts w:hint="eastAsia" w:ascii="方正仿宋_GBK" w:hAnsi="方正仿宋_GBK" w:eastAsia="方正仿宋_GBK" w:cs="方正仿宋_GBK"/>
          <w:b/>
          <w:bCs/>
          <w:sz w:val="32"/>
          <w:szCs w:val="32"/>
        </w:rPr>
        <w:t>预算收支情况</w:t>
      </w: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caps w:val="0"/>
          <w:color w:val="333333"/>
          <w:spacing w:val="0"/>
          <w:sz w:val="32"/>
          <w:szCs w:val="32"/>
          <w:shd w:val="clear" w:fill="FFFFFF"/>
          <w:lang w:val="en-US" w:eastAsia="zh-CN"/>
        </w:rPr>
        <w:t>根据《迪庆州财政局  迪庆州农业农村局关于下达2019年州级重大动物疫病防控项目资金和计划的通知》（迪财农【2019】21号文件）要求，全部用于2019年秋季猪瘟、猪蓝耳病疫苗采购，预算资金100万元，实际支出100万元。</w:t>
      </w: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二、评价结论</w:t>
      </w: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按相关文件要求，完成了全县猪瘟、猪蓝耳疫苗采购及免疫工作</w:t>
      </w:r>
      <w:r>
        <w:rPr>
          <w:rFonts w:hint="eastAsia" w:ascii="方正仿宋_GBK" w:hAnsi="方正仿宋_GBK" w:eastAsia="方正仿宋_GBK" w:cs="方正仿宋_GBK"/>
          <w:sz w:val="32"/>
          <w:szCs w:val="32"/>
          <w:lang w:eastAsia="zh-CN"/>
        </w:rPr>
        <w:t>，自评为优。</w:t>
      </w: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三、经验、问题和建议</w:t>
      </w:r>
    </w:p>
    <w:p>
      <w:pPr>
        <w:keepNext w:val="0"/>
        <w:keepLines w:val="0"/>
        <w:pageBreakBefore w:val="0"/>
        <w:widowControl w:val="0"/>
        <w:kinsoku/>
        <w:wordWrap/>
        <w:overflowPunct/>
        <w:autoSpaceDE/>
        <w:autoSpaceDN/>
        <w:bidi w:val="0"/>
        <w:adjustRightInd/>
        <w:snapToGrid/>
        <w:spacing w:line="360" w:lineRule="auto"/>
        <w:ind w:firstLine="643" w:firstLineChars="200"/>
        <w:jc w:val="left"/>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1.主要经验及做法；</w:t>
      </w: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成立采购工作小组，严格资金使用及拨付流程，制定实施方案，在项目实施过程中进行跟踪管理，结束后对项目进行绩效考评。</w:t>
      </w:r>
    </w:p>
    <w:p>
      <w:pPr>
        <w:keepNext w:val="0"/>
        <w:keepLines w:val="0"/>
        <w:pageBreakBefore w:val="0"/>
        <w:widowControl w:val="0"/>
        <w:kinsoku/>
        <w:wordWrap/>
        <w:overflowPunct/>
        <w:autoSpaceDE/>
        <w:autoSpaceDN/>
        <w:bidi w:val="0"/>
        <w:adjustRightInd/>
        <w:snapToGrid/>
        <w:spacing w:line="360" w:lineRule="auto"/>
        <w:ind w:firstLine="643" w:firstLineChars="200"/>
        <w:jc w:val="left"/>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2.存在的问题；</w:t>
      </w:r>
    </w:p>
    <w:p>
      <w:pPr>
        <w:keepNext w:val="0"/>
        <w:keepLines w:val="0"/>
        <w:pageBreakBefore w:val="0"/>
        <w:widowControl w:val="0"/>
        <w:numPr>
          <w:numId w:val="0"/>
        </w:numPr>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建议上半年完成中央、省转移支付资金足额地拨付到单位，避免出现年底拨付、跨年使用的情况。</w:t>
      </w:r>
    </w:p>
    <w:p>
      <w:pPr>
        <w:keepNext w:val="0"/>
        <w:keepLines w:val="0"/>
        <w:pageBreakBefore w:val="0"/>
        <w:widowControl w:val="0"/>
        <w:numPr>
          <w:numId w:val="0"/>
        </w:numPr>
        <w:kinsoku/>
        <w:wordWrap/>
        <w:overflowPunct/>
        <w:autoSpaceDE/>
        <w:autoSpaceDN/>
        <w:bidi w:val="0"/>
        <w:adjustRightInd/>
        <w:snapToGrid/>
        <w:spacing w:line="360" w:lineRule="auto"/>
        <w:ind w:firstLine="643" w:firstLineChars="200"/>
        <w:jc w:val="left"/>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lang w:val="en-US" w:eastAsia="zh-CN"/>
        </w:rPr>
        <w:t>3.</w:t>
      </w:r>
      <w:r>
        <w:rPr>
          <w:rFonts w:hint="eastAsia" w:ascii="方正仿宋_GBK" w:hAnsi="方正仿宋_GBK" w:eastAsia="方正仿宋_GBK" w:cs="方正仿宋_GBK"/>
          <w:b/>
          <w:bCs/>
          <w:sz w:val="32"/>
          <w:szCs w:val="32"/>
        </w:rPr>
        <w:t>改进措施及建议。</w:t>
      </w:r>
    </w:p>
    <w:p>
      <w:pPr>
        <w:keepNext w:val="0"/>
        <w:keepLines w:val="0"/>
        <w:pageBreakBefore w:val="0"/>
        <w:widowControl w:val="0"/>
        <w:numPr>
          <w:ilvl w:val="0"/>
          <w:numId w:val="0"/>
        </w:numPr>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（1）建立完备的绩效评价指标体系,运用科学的评价方法切实提高绩效评价的规范化、科学化水平。</w:t>
      </w:r>
    </w:p>
    <w:p>
      <w:pPr>
        <w:keepNext w:val="0"/>
        <w:keepLines w:val="0"/>
        <w:pageBreakBefore w:val="0"/>
        <w:widowControl w:val="0"/>
        <w:numPr>
          <w:ilvl w:val="0"/>
          <w:numId w:val="0"/>
        </w:numPr>
        <w:kinsoku/>
        <w:wordWrap/>
        <w:overflowPunct/>
        <w:autoSpaceDE/>
        <w:autoSpaceDN/>
        <w:bidi w:val="0"/>
        <w:adjustRightInd/>
        <w:snapToGrid/>
        <w:spacing w:line="360" w:lineRule="auto"/>
        <w:ind w:firstLine="640" w:firstLineChars="200"/>
        <w:jc w:val="left"/>
        <w:textAlignment w:val="auto"/>
        <w:rPr>
          <w:rFonts w:hint="eastAsia" w:ascii="方正小标宋_GBK" w:hAnsi="方正小标宋_GBK" w:eastAsia="方正小标宋_GBK" w:cs="方正小标宋_GBK"/>
          <w:sz w:val="44"/>
          <w:szCs w:val="44"/>
          <w:lang w:val="en-US" w:eastAsia="zh-CN"/>
        </w:rPr>
      </w:pPr>
      <w:r>
        <w:rPr>
          <w:rFonts w:hint="eastAsia" w:ascii="方正仿宋_GBK" w:hAnsi="方正仿宋_GBK" w:eastAsia="方正仿宋_GBK" w:cs="方正仿宋_GBK"/>
          <w:sz w:val="32"/>
          <w:szCs w:val="32"/>
          <w:lang w:val="en-US" w:eastAsia="zh-CN"/>
        </w:rPr>
        <w:t>（2）加强业务培训，提高工作质量。</w:t>
      </w:r>
    </w:p>
    <w:p>
      <w:pPr>
        <w:pStyle w:val="2"/>
        <w:bidi w:val="0"/>
        <w:jc w:val="center"/>
        <w:rPr>
          <w:rFonts w:hint="eastAsia"/>
          <w:lang w:val="en-US" w:eastAsia="zh-CN"/>
        </w:rPr>
      </w:pPr>
      <w:r>
        <w:rPr>
          <w:rFonts w:hint="eastAsia"/>
          <w:lang w:val="en-US" w:eastAsia="zh-CN"/>
        </w:rPr>
        <w:t>迪庆州农业农村局2019年重大动物疫病</w:t>
      </w:r>
    </w:p>
    <w:p>
      <w:pPr>
        <w:pStyle w:val="2"/>
        <w:bidi w:val="0"/>
        <w:jc w:val="center"/>
        <w:rPr>
          <w:rFonts w:hint="eastAsia"/>
        </w:rPr>
      </w:pPr>
      <w:r>
        <w:rPr>
          <w:rFonts w:hint="eastAsia"/>
          <w:lang w:val="en-US" w:eastAsia="zh-CN"/>
        </w:rPr>
        <w:t>防控</w:t>
      </w:r>
      <w:r>
        <w:rPr>
          <w:rFonts w:hint="eastAsia"/>
        </w:rPr>
        <w:t>项目支出绩效自评报告</w:t>
      </w:r>
    </w:p>
    <w:p>
      <w:pPr>
        <w:topLinePunct/>
        <w:spacing w:line="440" w:lineRule="exact"/>
        <w:ind w:firstLine="800" w:firstLineChars="250"/>
        <w:jc w:val="center"/>
        <w:rPr>
          <w:rFonts w:ascii="黑体" w:eastAsia="黑体"/>
          <w:sz w:val="32"/>
          <w:szCs w:val="32"/>
        </w:rPr>
      </w:pP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i w:val="0"/>
          <w:caps w:val="0"/>
          <w:color w:val="333333"/>
          <w:spacing w:val="0"/>
          <w:sz w:val="32"/>
          <w:szCs w:val="32"/>
          <w:shd w:val="clear" w:fill="FFFFFF"/>
        </w:rPr>
      </w:pPr>
      <w:r>
        <w:rPr>
          <w:rFonts w:hint="eastAsia" w:ascii="方正小标宋_GBK" w:hAnsi="黑体" w:eastAsia="方正小标宋_GBK"/>
          <w:sz w:val="32"/>
          <w:szCs w:val="32"/>
        </w:rPr>
        <w:t>摘</w:t>
      </w:r>
      <w:r>
        <w:rPr>
          <w:rFonts w:hint="eastAsia" w:ascii="方正小标宋_GBK" w:hAnsi="黑体" w:eastAsia="方正小标宋_GBK"/>
          <w:sz w:val="32"/>
          <w:szCs w:val="32"/>
          <w:lang w:val="en-US" w:eastAsia="zh-CN"/>
        </w:rPr>
        <w:t xml:space="preserve">  </w:t>
      </w:r>
      <w:r>
        <w:rPr>
          <w:rFonts w:hint="eastAsia" w:ascii="方正小标宋_GBK" w:hAnsi="黑体" w:eastAsia="方正小标宋_GBK"/>
          <w:sz w:val="32"/>
          <w:szCs w:val="32"/>
        </w:rPr>
        <w:t>要</w:t>
      </w:r>
      <w:r>
        <w:rPr>
          <w:rFonts w:hint="eastAsia" w:ascii="方正小标宋_GBK" w:hAnsi="黑体" w:eastAsia="方正小标宋_GBK"/>
          <w:sz w:val="32"/>
          <w:szCs w:val="32"/>
          <w:lang w:eastAsia="zh-CN"/>
        </w:rPr>
        <w:t>：</w:t>
      </w:r>
      <w:r>
        <w:rPr>
          <w:rFonts w:hint="eastAsia" w:ascii="方正仿宋_GBK" w:hAnsi="方正仿宋_GBK" w:eastAsia="方正仿宋_GBK" w:cs="方正仿宋_GBK"/>
          <w:i w:val="0"/>
          <w:caps w:val="0"/>
          <w:color w:val="333333"/>
          <w:spacing w:val="0"/>
          <w:sz w:val="32"/>
          <w:szCs w:val="32"/>
          <w:shd w:val="clear" w:fill="FFFFFF"/>
        </w:rPr>
        <w:t>为切实加强我</w:t>
      </w:r>
      <w:r>
        <w:rPr>
          <w:rFonts w:hint="eastAsia" w:ascii="方正仿宋_GBK" w:hAnsi="方正仿宋_GBK" w:eastAsia="方正仿宋_GBK" w:cs="方正仿宋_GBK"/>
          <w:i w:val="0"/>
          <w:caps w:val="0"/>
          <w:color w:val="333333"/>
          <w:spacing w:val="0"/>
          <w:sz w:val="32"/>
          <w:szCs w:val="32"/>
          <w:shd w:val="clear" w:fill="FFFFFF"/>
          <w:lang w:eastAsia="zh-CN"/>
        </w:rPr>
        <w:t>州</w:t>
      </w:r>
      <w:r>
        <w:rPr>
          <w:rFonts w:hint="eastAsia" w:ascii="方正仿宋_GBK" w:hAnsi="方正仿宋_GBK" w:eastAsia="方正仿宋_GBK" w:cs="方正仿宋_GBK"/>
          <w:i w:val="0"/>
          <w:caps w:val="0"/>
          <w:color w:val="333333"/>
          <w:spacing w:val="0"/>
          <w:sz w:val="32"/>
          <w:szCs w:val="32"/>
          <w:shd w:val="clear" w:fill="FFFFFF"/>
        </w:rPr>
        <w:t>重大动物疫病防控工作，保障畜牧业健康发展和畜禽产品质量安全，根据《中华人民共和国动物防疫法》、《重大动物疫情应急条例》、《郴州市重大动物疫病防控工作目标管理责任状》等法律法规要求，为认真做好重大动物疫情核查和报告、疫情扑灭、监督执法、疫情监测、动物防疫物资储备等工作，通过201</w:t>
      </w:r>
      <w:r>
        <w:rPr>
          <w:rFonts w:hint="eastAsia" w:ascii="方正仿宋_GBK" w:hAnsi="方正仿宋_GBK" w:eastAsia="方正仿宋_GBK" w:cs="方正仿宋_GBK"/>
          <w:i w:val="0"/>
          <w:caps w:val="0"/>
          <w:color w:val="333333"/>
          <w:spacing w:val="0"/>
          <w:sz w:val="32"/>
          <w:szCs w:val="32"/>
          <w:shd w:val="clear" w:fill="FFFFFF"/>
          <w:lang w:val="en-US" w:eastAsia="zh-CN"/>
        </w:rPr>
        <w:t>9</w:t>
      </w:r>
      <w:r>
        <w:rPr>
          <w:rFonts w:hint="eastAsia" w:ascii="方正仿宋_GBK" w:hAnsi="方正仿宋_GBK" w:eastAsia="方正仿宋_GBK" w:cs="方正仿宋_GBK"/>
          <w:i w:val="0"/>
          <w:caps w:val="0"/>
          <w:color w:val="333333"/>
          <w:spacing w:val="0"/>
          <w:sz w:val="32"/>
          <w:szCs w:val="32"/>
          <w:shd w:val="clear" w:fill="FFFFFF"/>
        </w:rPr>
        <w:t>年度项目绩效目标申报，</w:t>
      </w:r>
      <w:r>
        <w:rPr>
          <w:rFonts w:hint="eastAsia" w:ascii="方正仿宋_GBK" w:hAnsi="方正仿宋_GBK" w:eastAsia="方正仿宋_GBK" w:cs="方正仿宋_GBK"/>
          <w:i w:val="0"/>
          <w:caps w:val="0"/>
          <w:color w:val="333333"/>
          <w:spacing w:val="0"/>
          <w:sz w:val="32"/>
          <w:szCs w:val="32"/>
          <w:shd w:val="clear" w:fill="FFFFFF"/>
          <w:lang w:eastAsia="zh-CN"/>
        </w:rPr>
        <w:t>州</w:t>
      </w:r>
      <w:r>
        <w:rPr>
          <w:rFonts w:hint="eastAsia" w:ascii="方正仿宋_GBK" w:hAnsi="方正仿宋_GBK" w:eastAsia="方正仿宋_GBK" w:cs="方正仿宋_GBK"/>
          <w:i w:val="0"/>
          <w:caps w:val="0"/>
          <w:color w:val="333333"/>
          <w:spacing w:val="0"/>
          <w:sz w:val="32"/>
          <w:szCs w:val="32"/>
          <w:shd w:val="clear" w:fill="FFFFFF"/>
        </w:rPr>
        <w:t>财政安排全县重大动物疫病防控工作经费</w:t>
      </w:r>
      <w:r>
        <w:rPr>
          <w:rFonts w:hint="eastAsia" w:ascii="方正仿宋_GBK" w:hAnsi="方正仿宋_GBK" w:eastAsia="方正仿宋_GBK" w:cs="方正仿宋_GBK"/>
          <w:i w:val="0"/>
          <w:caps w:val="0"/>
          <w:color w:val="333333"/>
          <w:spacing w:val="0"/>
          <w:sz w:val="32"/>
          <w:szCs w:val="32"/>
          <w:shd w:val="clear" w:fill="FFFFFF"/>
          <w:lang w:val="en-US" w:eastAsia="zh-CN"/>
        </w:rPr>
        <w:t>100</w:t>
      </w:r>
      <w:r>
        <w:rPr>
          <w:rFonts w:hint="eastAsia" w:ascii="方正仿宋_GBK" w:hAnsi="方正仿宋_GBK" w:eastAsia="方正仿宋_GBK" w:cs="方正仿宋_GBK"/>
          <w:i w:val="0"/>
          <w:caps w:val="0"/>
          <w:color w:val="333333"/>
          <w:spacing w:val="0"/>
          <w:sz w:val="32"/>
          <w:szCs w:val="32"/>
          <w:shd w:val="clear" w:fill="FFFFFF"/>
        </w:rPr>
        <w:t>万元。</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一、项目基本情况</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（一）项目概况。</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1.立项背景及目的。</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caps w:val="0"/>
          <w:color w:val="333333"/>
          <w:spacing w:val="0"/>
          <w:sz w:val="32"/>
          <w:szCs w:val="32"/>
          <w:shd w:val="clear" w:fill="FFFFFF"/>
        </w:rPr>
        <w:t>按云农牧[2017]26号《云南省农业厅  云南省财政厅关于贯彻落实国家暂不实施猪瘟和高致病性猪蓝耳病强制免疫政策意见的通知》要求。</w:t>
      </w:r>
      <w:r>
        <w:rPr>
          <w:rFonts w:hint="eastAsia" w:ascii="方正仿宋_GBK" w:hAnsi="方正仿宋_GBK" w:eastAsia="方正仿宋_GBK" w:cs="方正仿宋_GBK"/>
          <w:i w:val="0"/>
          <w:caps w:val="0"/>
          <w:color w:val="333333"/>
          <w:spacing w:val="0"/>
          <w:sz w:val="32"/>
          <w:szCs w:val="32"/>
          <w:shd w:val="clear" w:fill="FFFFFF"/>
          <w:lang w:eastAsia="zh-CN"/>
        </w:rPr>
        <w:t>猪瘟、猪蓝耳病不做为国家强制免疫病种。但经过实际调查，猪瘟、猪蓝耳病在我县仍有零星发病，不能按国家要求退出猪瘟、蓝耳病强制免疫。为切实做好</w:t>
      </w:r>
      <w:r>
        <w:rPr>
          <w:rFonts w:hint="eastAsia" w:ascii="方正仿宋_GBK" w:hAnsi="方正仿宋_GBK" w:eastAsia="方正仿宋_GBK" w:cs="方正仿宋_GBK"/>
          <w:i w:val="0"/>
          <w:caps w:val="0"/>
          <w:color w:val="333333"/>
          <w:spacing w:val="0"/>
          <w:sz w:val="32"/>
          <w:szCs w:val="32"/>
          <w:shd w:val="clear" w:fill="FFFFFF"/>
          <w:lang w:val="en-US" w:eastAsia="zh-CN"/>
        </w:rPr>
        <w:t>2019年秋季重大动物疫病防控工作，集中采购猪瘟、猪蓝耳病疫苗，结合猪口蹄疫集中免疫。继续做好“321”防疫技术，确保重大动物免疫密度达到100%，免疫抗体监测合格率达到70%以上。</w:t>
      </w:r>
    </w:p>
    <w:p>
      <w:pPr>
        <w:keepNext w:val="0"/>
        <w:keepLines w:val="0"/>
        <w:pageBreakBefore w:val="0"/>
        <w:widowControl w:val="0"/>
        <w:kinsoku/>
        <w:wordWrap/>
        <w:overflowPunct/>
        <w:autoSpaceDE/>
        <w:autoSpaceDN/>
        <w:bidi w:val="0"/>
        <w:adjustRightInd/>
        <w:snapToGrid/>
        <w:spacing w:line="360" w:lineRule="auto"/>
        <w:ind w:firstLine="643" w:firstLineChars="200"/>
        <w:jc w:val="left"/>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2.项目实施情况。</w:t>
      </w:r>
    </w:p>
    <w:tbl>
      <w:tblPr>
        <w:tblStyle w:val="3"/>
        <w:tblpPr w:leftFromText="180" w:rightFromText="180" w:vertAnchor="text" w:horzAnchor="page" w:tblpX="1052" w:tblpY="604"/>
        <w:tblOverlap w:val="never"/>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6377"/>
        <w:gridCol w:w="753"/>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4" w:hRule="atLeast"/>
        </w:trPr>
        <w:tc>
          <w:tcPr>
            <w:tcW w:w="1079" w:type="dxa"/>
            <w:tcBorders>
              <w:tl2br w:val="single" w:color="auto" w:sz="4" w:space="0"/>
            </w:tcBorders>
            <w:noWrap w:val="0"/>
            <w:vAlign w:val="center"/>
          </w:tcPr>
          <w:p>
            <w:pPr>
              <w:spacing w:line="360" w:lineRule="exact"/>
              <w:ind w:left="480" w:hanging="480" w:hangingChars="200"/>
              <w:jc w:val="center"/>
              <w:rPr>
                <w:rFonts w:hint="eastAsia" w:ascii="方正小标宋简体" w:eastAsia="方正小标宋简体"/>
                <w:sz w:val="24"/>
              </w:rPr>
            </w:pPr>
            <w:r>
              <w:rPr>
                <w:rFonts w:hint="eastAsia" w:ascii="方正小标宋简体" w:eastAsia="方正小标宋简体"/>
                <w:sz w:val="24"/>
              </w:rPr>
              <w:t>项目</w:t>
            </w:r>
          </w:p>
          <w:p>
            <w:pPr>
              <w:tabs>
                <w:tab w:val="left" w:pos="1125"/>
              </w:tabs>
              <w:spacing w:line="360" w:lineRule="exact"/>
              <w:jc w:val="center"/>
              <w:rPr>
                <w:rFonts w:hint="eastAsia" w:ascii="方正小标宋简体" w:eastAsia="方正小标宋简体"/>
                <w:sz w:val="24"/>
              </w:rPr>
            </w:pPr>
          </w:p>
          <w:p>
            <w:pPr>
              <w:tabs>
                <w:tab w:val="left" w:pos="1125"/>
              </w:tabs>
              <w:spacing w:line="360" w:lineRule="exact"/>
              <w:jc w:val="center"/>
              <w:rPr>
                <w:rFonts w:hint="eastAsia" w:ascii="方正小标宋简体" w:eastAsia="方正小标宋简体"/>
                <w:sz w:val="24"/>
              </w:rPr>
            </w:pPr>
            <w:r>
              <w:rPr>
                <w:rFonts w:hint="eastAsia" w:ascii="方正小标宋简体" w:eastAsia="方正小标宋简体"/>
                <w:sz w:val="24"/>
              </w:rPr>
              <w:t>县 份</w:t>
            </w:r>
          </w:p>
        </w:tc>
        <w:tc>
          <w:tcPr>
            <w:tcW w:w="6377" w:type="dxa"/>
            <w:noWrap w:val="0"/>
            <w:vAlign w:val="center"/>
          </w:tcPr>
          <w:p>
            <w:pPr>
              <w:spacing w:line="360" w:lineRule="exact"/>
              <w:jc w:val="center"/>
              <w:rPr>
                <w:rFonts w:hint="eastAsia" w:ascii="方正小标宋简体" w:eastAsia="方正小标宋简体"/>
                <w:sz w:val="24"/>
              </w:rPr>
            </w:pPr>
            <w:r>
              <w:rPr>
                <w:rFonts w:hint="eastAsia" w:ascii="方正小标宋简体" w:eastAsia="方正小标宋简体"/>
                <w:sz w:val="24"/>
              </w:rPr>
              <w:t>建设内容和资金支持环节</w:t>
            </w:r>
          </w:p>
        </w:tc>
        <w:tc>
          <w:tcPr>
            <w:tcW w:w="753" w:type="dxa"/>
            <w:noWrap w:val="0"/>
            <w:vAlign w:val="center"/>
          </w:tcPr>
          <w:p>
            <w:pPr>
              <w:spacing w:line="360" w:lineRule="exact"/>
              <w:jc w:val="center"/>
              <w:rPr>
                <w:rFonts w:hint="eastAsia" w:ascii="方正小标宋简体" w:eastAsia="方正小标宋简体"/>
                <w:sz w:val="24"/>
              </w:rPr>
            </w:pPr>
            <w:r>
              <w:rPr>
                <w:rFonts w:hint="eastAsia" w:ascii="方正小标宋简体" w:eastAsia="方正小标宋简体"/>
                <w:sz w:val="24"/>
              </w:rPr>
              <w:t>补助</w:t>
            </w:r>
          </w:p>
          <w:p>
            <w:pPr>
              <w:spacing w:line="360" w:lineRule="exact"/>
              <w:jc w:val="center"/>
              <w:rPr>
                <w:rFonts w:hint="eastAsia" w:ascii="方正小标宋简体" w:eastAsia="方正小标宋简体"/>
                <w:sz w:val="24"/>
              </w:rPr>
            </w:pPr>
            <w:r>
              <w:rPr>
                <w:rFonts w:hint="eastAsia" w:ascii="方正小标宋简体" w:eastAsia="方正小标宋简体"/>
                <w:sz w:val="24"/>
              </w:rPr>
              <w:t>金额</w:t>
            </w:r>
          </w:p>
        </w:tc>
        <w:tc>
          <w:tcPr>
            <w:tcW w:w="1251" w:type="dxa"/>
            <w:noWrap w:val="0"/>
            <w:vAlign w:val="center"/>
          </w:tcPr>
          <w:p>
            <w:pPr>
              <w:spacing w:line="360" w:lineRule="exact"/>
              <w:ind w:firstLine="120" w:firstLineChars="50"/>
              <w:jc w:val="center"/>
              <w:rPr>
                <w:rFonts w:hint="eastAsia" w:ascii="方正小标宋简体" w:eastAsia="方正小标宋简体"/>
                <w:sz w:val="24"/>
              </w:rPr>
            </w:pPr>
            <w:r>
              <w:rPr>
                <w:rFonts w:hint="eastAsia" w:ascii="方正小标宋简体" w:eastAsia="方正小标宋简体"/>
                <w:sz w:val="24"/>
              </w:rPr>
              <w:t>项  目</w:t>
            </w:r>
          </w:p>
          <w:p>
            <w:pPr>
              <w:spacing w:line="360" w:lineRule="exact"/>
              <w:jc w:val="center"/>
              <w:rPr>
                <w:rFonts w:hint="eastAsia" w:ascii="方正小标宋简体" w:eastAsia="方正小标宋简体"/>
                <w:sz w:val="24"/>
              </w:rPr>
            </w:pPr>
            <w:r>
              <w:rPr>
                <w:rFonts w:hint="eastAsia" w:ascii="方正小标宋简体" w:eastAsia="方正小标宋简体"/>
                <w:sz w:val="24"/>
              </w:rPr>
              <w:t>实施单位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5" w:hRule="atLeast"/>
        </w:trPr>
        <w:tc>
          <w:tcPr>
            <w:tcW w:w="1079" w:type="dxa"/>
            <w:noWrap w:val="0"/>
            <w:vAlign w:val="center"/>
          </w:tcPr>
          <w:p>
            <w:pPr>
              <w:jc w:val="center"/>
              <w:rPr>
                <w:rFonts w:hint="eastAsia" w:ascii="方正小标宋简体" w:eastAsia="方正小标宋简体"/>
                <w:sz w:val="24"/>
                <w:szCs w:val="24"/>
              </w:rPr>
            </w:pPr>
            <w:r>
              <w:rPr>
                <w:rFonts w:hint="eastAsia" w:ascii="方正小标宋简体" w:eastAsia="方正小标宋简体"/>
                <w:sz w:val="24"/>
                <w:szCs w:val="24"/>
              </w:rPr>
              <w:t>香 格</w:t>
            </w:r>
          </w:p>
          <w:p>
            <w:pPr>
              <w:jc w:val="center"/>
              <w:rPr>
                <w:rFonts w:hint="eastAsia" w:ascii="方正小标宋简体" w:eastAsia="方正小标宋简体"/>
                <w:sz w:val="24"/>
                <w:szCs w:val="24"/>
              </w:rPr>
            </w:pPr>
            <w:r>
              <w:rPr>
                <w:rFonts w:hint="eastAsia" w:ascii="方正小标宋简体" w:eastAsia="方正小标宋简体"/>
                <w:sz w:val="24"/>
                <w:szCs w:val="24"/>
              </w:rPr>
              <w:t>里拉</w:t>
            </w:r>
            <w:r>
              <w:rPr>
                <w:rFonts w:hint="eastAsia" w:ascii="方正小标宋简体" w:eastAsia="方正小标宋简体"/>
                <w:sz w:val="24"/>
                <w:szCs w:val="24"/>
                <w:lang w:eastAsia="zh-CN"/>
              </w:rPr>
              <w:t>市</w:t>
            </w:r>
          </w:p>
          <w:p>
            <w:pPr>
              <w:jc w:val="center"/>
              <w:rPr>
                <w:rFonts w:hint="eastAsia" w:ascii="方正小标宋简体" w:eastAsia="方正小标宋简体"/>
                <w:sz w:val="28"/>
                <w:szCs w:val="28"/>
              </w:rPr>
            </w:pPr>
          </w:p>
        </w:tc>
        <w:tc>
          <w:tcPr>
            <w:tcW w:w="6377" w:type="dxa"/>
            <w:noWrap w:val="0"/>
            <w:vAlign w:val="center"/>
          </w:tcPr>
          <w:p>
            <w:pPr>
              <w:spacing w:line="240" w:lineRule="exact"/>
              <w:jc w:val="both"/>
              <w:rPr>
                <w:rFonts w:hint="eastAsia" w:ascii="仿宋_GB2312" w:eastAsia="仿宋_GB2312"/>
                <w:szCs w:val="21"/>
              </w:rPr>
            </w:pPr>
            <w:r>
              <w:rPr>
                <w:rFonts w:hint="eastAsia" w:ascii="仿宋_GB2312" w:eastAsia="仿宋_GB2312"/>
                <w:szCs w:val="21"/>
              </w:rPr>
              <w:t>开展动物防疫整村推进，推广“321”防疫新技术，确保重大动物免疫密度达到100%，免疫抗体监测合格率达到70%以上，切实做好辖区内重大动物疫病防控工作，及时果断处置零星动物疫情，确保不发生区域性</w:t>
            </w:r>
            <w:r>
              <w:rPr>
                <w:rFonts w:hint="eastAsia" w:ascii="仿宋_GB2312" w:eastAsia="仿宋_GB2312"/>
                <w:szCs w:val="21"/>
                <w:lang w:eastAsia="zh-CN"/>
              </w:rPr>
              <w:t>重大</w:t>
            </w:r>
            <w:r>
              <w:rPr>
                <w:rFonts w:hint="eastAsia" w:ascii="仿宋_GB2312" w:eastAsia="仿宋_GB2312"/>
                <w:szCs w:val="21"/>
              </w:rPr>
              <w:t>动物疫情，推动畜牧业健康稳步发展。资金主要用于重大动物疫病防控物资购置、动物疫病监测、免疫抗体监测</w:t>
            </w:r>
            <w:r>
              <w:rPr>
                <w:rFonts w:hint="eastAsia" w:ascii="仿宋_GB2312" w:eastAsia="仿宋_GB2312"/>
                <w:szCs w:val="21"/>
                <w:lang w:eastAsia="zh-CN"/>
              </w:rPr>
              <w:t>、</w:t>
            </w:r>
            <w:r>
              <w:rPr>
                <w:rFonts w:hint="eastAsia" w:ascii="仿宋_GB2312" w:eastAsia="仿宋_GB2312"/>
                <w:szCs w:val="21"/>
              </w:rPr>
              <w:t>防疫防堵、防疫检查</w:t>
            </w:r>
            <w:r>
              <w:rPr>
                <w:rFonts w:hint="eastAsia" w:ascii="仿宋_GB2312" w:eastAsia="仿宋_GB2312"/>
                <w:szCs w:val="21"/>
                <w:lang w:eastAsia="zh-CN"/>
              </w:rPr>
              <w:t>、村级防疫员培训、强制扑杀补助、无害化处理</w:t>
            </w:r>
            <w:r>
              <w:rPr>
                <w:rFonts w:hint="eastAsia" w:ascii="仿宋_GB2312" w:eastAsia="仿宋_GB2312"/>
                <w:szCs w:val="21"/>
              </w:rPr>
              <w:t>等</w:t>
            </w:r>
          </w:p>
        </w:tc>
        <w:tc>
          <w:tcPr>
            <w:tcW w:w="753" w:type="dxa"/>
            <w:noWrap w:val="0"/>
            <w:vAlign w:val="center"/>
          </w:tcPr>
          <w:p>
            <w:pPr>
              <w:jc w:val="center"/>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50</w:t>
            </w:r>
          </w:p>
        </w:tc>
        <w:tc>
          <w:tcPr>
            <w:tcW w:w="1251" w:type="dxa"/>
            <w:noWrap w:val="0"/>
            <w:vAlign w:val="center"/>
          </w:tcPr>
          <w:p>
            <w:pPr>
              <w:jc w:val="center"/>
              <w:rPr>
                <w:rFonts w:hint="eastAsia" w:ascii="仿宋_GB2312" w:eastAsia="仿宋_GB2312"/>
                <w:sz w:val="28"/>
                <w:szCs w:val="28"/>
                <w:lang w:eastAsia="zh-CN"/>
              </w:rPr>
            </w:pPr>
            <w:r>
              <w:rPr>
                <w:rFonts w:hint="eastAsia" w:ascii="仿宋_GB2312" w:eastAsia="仿宋_GB2312"/>
                <w:sz w:val="21"/>
                <w:szCs w:val="21"/>
                <w:lang w:eastAsia="zh-CN"/>
              </w:rPr>
              <w:t>市农业农村局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3" w:hRule="atLeast"/>
        </w:trPr>
        <w:tc>
          <w:tcPr>
            <w:tcW w:w="1079" w:type="dxa"/>
            <w:noWrap w:val="0"/>
            <w:vAlign w:val="center"/>
          </w:tcPr>
          <w:p>
            <w:pPr>
              <w:jc w:val="center"/>
              <w:rPr>
                <w:rFonts w:hint="eastAsia" w:ascii="方正小标宋简体" w:eastAsia="方正小标宋简体"/>
                <w:sz w:val="28"/>
                <w:szCs w:val="28"/>
              </w:rPr>
            </w:pPr>
            <w:r>
              <w:rPr>
                <w:rFonts w:hint="eastAsia" w:ascii="方正小标宋简体" w:eastAsia="方正小标宋简体"/>
                <w:sz w:val="24"/>
                <w:szCs w:val="24"/>
              </w:rPr>
              <w:t>德钦县</w:t>
            </w:r>
          </w:p>
        </w:tc>
        <w:tc>
          <w:tcPr>
            <w:tcW w:w="6377" w:type="dxa"/>
            <w:noWrap w:val="0"/>
            <w:vAlign w:val="center"/>
          </w:tcPr>
          <w:p>
            <w:pPr>
              <w:spacing w:line="240" w:lineRule="exact"/>
              <w:jc w:val="both"/>
              <w:rPr>
                <w:rFonts w:hint="eastAsia" w:ascii="仿宋_GB2312" w:eastAsia="仿宋_GB2312"/>
                <w:szCs w:val="21"/>
              </w:rPr>
            </w:pPr>
            <w:r>
              <w:rPr>
                <w:rFonts w:hint="eastAsia" w:ascii="仿宋_GB2312" w:eastAsia="仿宋_GB2312"/>
                <w:szCs w:val="21"/>
              </w:rPr>
              <w:t>开展动物防疫整村推进，推广“321”防疫新技术，确保重大动物免疫密度达到100%，免疫抗体监测合格率达到70%以上，切实做好辖区内重大动物疫病防控工作，及时果断处置零星动物疫情，确保不发生区域性</w:t>
            </w:r>
            <w:r>
              <w:rPr>
                <w:rFonts w:hint="eastAsia" w:ascii="仿宋_GB2312" w:eastAsia="仿宋_GB2312"/>
                <w:szCs w:val="21"/>
                <w:lang w:eastAsia="zh-CN"/>
              </w:rPr>
              <w:t>重大</w:t>
            </w:r>
            <w:r>
              <w:rPr>
                <w:rFonts w:hint="eastAsia" w:ascii="仿宋_GB2312" w:eastAsia="仿宋_GB2312"/>
                <w:szCs w:val="21"/>
              </w:rPr>
              <w:t>动物疫情，推动畜牧业健康稳步发展。资金主要用于重大动物疫病防控</w:t>
            </w:r>
            <w:r>
              <w:rPr>
                <w:rFonts w:hint="eastAsia" w:ascii="仿宋_GB2312" w:eastAsia="仿宋_GB2312"/>
                <w:szCs w:val="21"/>
                <w:lang w:eastAsia="zh-CN"/>
              </w:rPr>
              <w:t>物</w:t>
            </w:r>
            <w:r>
              <w:rPr>
                <w:rFonts w:hint="eastAsia" w:ascii="仿宋_GB2312" w:eastAsia="仿宋_GB2312"/>
                <w:szCs w:val="21"/>
              </w:rPr>
              <w:t>资购置、动物疫病监测、免疫抗体监测</w:t>
            </w:r>
            <w:r>
              <w:rPr>
                <w:rFonts w:hint="eastAsia" w:ascii="仿宋_GB2312" w:eastAsia="仿宋_GB2312"/>
                <w:szCs w:val="21"/>
                <w:lang w:eastAsia="zh-CN"/>
              </w:rPr>
              <w:t>、</w:t>
            </w:r>
            <w:r>
              <w:rPr>
                <w:rFonts w:hint="eastAsia" w:ascii="仿宋_GB2312" w:eastAsia="仿宋_GB2312"/>
                <w:szCs w:val="21"/>
              </w:rPr>
              <w:t>防疫防堵、防疫检查</w:t>
            </w:r>
            <w:r>
              <w:rPr>
                <w:rFonts w:hint="eastAsia" w:ascii="仿宋_GB2312" w:eastAsia="仿宋_GB2312"/>
                <w:szCs w:val="21"/>
                <w:lang w:eastAsia="zh-CN"/>
              </w:rPr>
              <w:t>、村级防疫员培训、强制扑杀补助、无害化处理</w:t>
            </w:r>
            <w:r>
              <w:rPr>
                <w:rFonts w:hint="eastAsia" w:ascii="仿宋_GB2312" w:eastAsia="仿宋_GB2312"/>
                <w:szCs w:val="21"/>
              </w:rPr>
              <w:t>等。</w:t>
            </w:r>
            <w:r>
              <w:rPr>
                <w:rFonts w:hint="eastAsia" w:ascii="仿宋_GB2312" w:eastAsia="仿宋_GB2312"/>
                <w:szCs w:val="21"/>
                <w:lang w:eastAsia="zh-CN"/>
              </w:rPr>
              <w:t>德钦佛山动物防疫检查站</w:t>
            </w:r>
            <w:r>
              <w:rPr>
                <w:rFonts w:hint="eastAsia" w:ascii="仿宋_GB2312" w:eastAsia="仿宋_GB2312"/>
                <w:szCs w:val="21"/>
                <w:lang w:val="en-US" w:eastAsia="zh-CN"/>
              </w:rPr>
              <w:t>2万元。</w:t>
            </w:r>
          </w:p>
        </w:tc>
        <w:tc>
          <w:tcPr>
            <w:tcW w:w="753" w:type="dxa"/>
            <w:noWrap w:val="0"/>
            <w:vAlign w:val="center"/>
          </w:tcPr>
          <w:p>
            <w:pPr>
              <w:jc w:val="center"/>
              <w:rPr>
                <w:rFonts w:hint="eastAsia" w:ascii="方正小标宋简体" w:eastAsia="方正小标宋简体"/>
                <w:sz w:val="24"/>
                <w:szCs w:val="24"/>
                <w:lang w:eastAsia="zh-CN"/>
              </w:rPr>
            </w:pPr>
            <w:r>
              <w:rPr>
                <w:rFonts w:hint="eastAsia" w:ascii="方正小标宋简体" w:eastAsia="方正小标宋简体"/>
                <w:sz w:val="24"/>
                <w:szCs w:val="24"/>
                <w:lang w:val="en-US" w:eastAsia="zh-CN"/>
              </w:rPr>
              <w:t>15</w:t>
            </w:r>
          </w:p>
        </w:tc>
        <w:tc>
          <w:tcPr>
            <w:tcW w:w="1251" w:type="dxa"/>
            <w:noWrap w:val="0"/>
            <w:vAlign w:val="center"/>
          </w:tcPr>
          <w:p>
            <w:pPr>
              <w:jc w:val="center"/>
              <w:rPr>
                <w:rFonts w:hint="eastAsia" w:ascii="仿宋_GB2312" w:eastAsia="仿宋_GB2312"/>
                <w:sz w:val="28"/>
                <w:szCs w:val="28"/>
                <w:lang w:eastAsia="zh-CN"/>
              </w:rPr>
            </w:pPr>
            <w:r>
              <w:rPr>
                <w:rFonts w:hint="eastAsia" w:ascii="仿宋_GB2312" w:eastAsia="仿宋_GB2312"/>
                <w:sz w:val="21"/>
                <w:szCs w:val="21"/>
                <w:lang w:eastAsia="zh-CN"/>
              </w:rPr>
              <w:t>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3" w:hRule="atLeast"/>
        </w:trPr>
        <w:tc>
          <w:tcPr>
            <w:tcW w:w="1079" w:type="dxa"/>
            <w:noWrap w:val="0"/>
            <w:vAlign w:val="center"/>
          </w:tcPr>
          <w:p>
            <w:pPr>
              <w:jc w:val="center"/>
              <w:rPr>
                <w:rFonts w:hint="eastAsia" w:ascii="方正小标宋简体" w:eastAsia="方正小标宋简体"/>
                <w:sz w:val="28"/>
                <w:szCs w:val="28"/>
              </w:rPr>
            </w:pPr>
            <w:r>
              <w:rPr>
                <w:rFonts w:hint="eastAsia" w:ascii="方正小标宋简体" w:eastAsia="方正小标宋简体"/>
                <w:sz w:val="24"/>
                <w:szCs w:val="24"/>
              </w:rPr>
              <w:t>维西县</w:t>
            </w:r>
          </w:p>
        </w:tc>
        <w:tc>
          <w:tcPr>
            <w:tcW w:w="6377" w:type="dxa"/>
            <w:noWrap w:val="0"/>
            <w:vAlign w:val="center"/>
          </w:tcPr>
          <w:p>
            <w:pPr>
              <w:spacing w:line="240" w:lineRule="exact"/>
              <w:jc w:val="both"/>
              <w:rPr>
                <w:rFonts w:hint="eastAsia" w:ascii="仿宋_GB2312" w:eastAsia="仿宋_GB2312"/>
                <w:szCs w:val="21"/>
              </w:rPr>
            </w:pPr>
            <w:r>
              <w:rPr>
                <w:rFonts w:hint="eastAsia" w:ascii="仿宋_GB2312" w:eastAsia="仿宋_GB2312"/>
                <w:szCs w:val="21"/>
              </w:rPr>
              <w:t>开展动物防疫整村推进，推广“321”防疫新技术，确保重大动物免疫密度达到100%，免疫抗体监测合格率达到70%以上，切实做好辖区内重大动物疫病防控工作，及时果断处置零星动物疫情，确保不发生区域性</w:t>
            </w:r>
            <w:r>
              <w:rPr>
                <w:rFonts w:hint="eastAsia" w:ascii="仿宋_GB2312" w:eastAsia="仿宋_GB2312"/>
                <w:szCs w:val="21"/>
                <w:lang w:eastAsia="zh-CN"/>
              </w:rPr>
              <w:t>重大</w:t>
            </w:r>
            <w:r>
              <w:rPr>
                <w:rFonts w:hint="eastAsia" w:ascii="仿宋_GB2312" w:eastAsia="仿宋_GB2312"/>
                <w:szCs w:val="21"/>
              </w:rPr>
              <w:t>动物疫情，推动畜牧业健康稳步发展。资金主要用于重大动物疫病防控物资购置、动物疫病监测、免疫抗体监测</w:t>
            </w:r>
            <w:r>
              <w:rPr>
                <w:rFonts w:hint="eastAsia" w:ascii="仿宋_GB2312" w:eastAsia="仿宋_GB2312"/>
                <w:szCs w:val="21"/>
                <w:lang w:eastAsia="zh-CN"/>
              </w:rPr>
              <w:t>、</w:t>
            </w:r>
            <w:r>
              <w:rPr>
                <w:rFonts w:hint="eastAsia" w:ascii="仿宋_GB2312" w:eastAsia="仿宋_GB2312"/>
                <w:szCs w:val="21"/>
              </w:rPr>
              <w:t>防疫防堵、防疫检查</w:t>
            </w:r>
            <w:r>
              <w:rPr>
                <w:rFonts w:hint="eastAsia" w:ascii="仿宋_GB2312" w:eastAsia="仿宋_GB2312"/>
                <w:szCs w:val="21"/>
                <w:lang w:eastAsia="zh-CN"/>
              </w:rPr>
              <w:t>、村级防疫员培训、强制扑杀补助、无害化处理</w:t>
            </w:r>
            <w:r>
              <w:rPr>
                <w:rFonts w:hint="eastAsia" w:ascii="仿宋_GB2312" w:eastAsia="仿宋_GB2312"/>
                <w:szCs w:val="21"/>
              </w:rPr>
              <w:t>等。</w:t>
            </w:r>
          </w:p>
        </w:tc>
        <w:tc>
          <w:tcPr>
            <w:tcW w:w="753" w:type="dxa"/>
            <w:noWrap w:val="0"/>
            <w:vAlign w:val="center"/>
          </w:tcPr>
          <w:p>
            <w:pPr>
              <w:jc w:val="center"/>
              <w:rPr>
                <w:rFonts w:hint="eastAsia" w:ascii="方正小标宋简体" w:eastAsia="方正小标宋简体"/>
                <w:sz w:val="24"/>
                <w:szCs w:val="24"/>
                <w:lang w:eastAsia="zh-CN"/>
              </w:rPr>
            </w:pPr>
            <w:r>
              <w:rPr>
                <w:rFonts w:hint="eastAsia" w:ascii="方正小标宋简体" w:eastAsia="方正小标宋简体"/>
                <w:sz w:val="24"/>
                <w:szCs w:val="24"/>
                <w:lang w:val="en-US" w:eastAsia="zh-CN"/>
              </w:rPr>
              <w:t>15</w:t>
            </w:r>
          </w:p>
        </w:tc>
        <w:tc>
          <w:tcPr>
            <w:tcW w:w="1251" w:type="dxa"/>
            <w:noWrap w:val="0"/>
            <w:vAlign w:val="center"/>
          </w:tcPr>
          <w:p>
            <w:pPr>
              <w:jc w:val="center"/>
              <w:rPr>
                <w:rFonts w:hint="eastAsia" w:ascii="仿宋_GB2312" w:eastAsia="仿宋_GB2312"/>
                <w:sz w:val="28"/>
                <w:szCs w:val="28"/>
              </w:rPr>
            </w:pPr>
            <w:r>
              <w:rPr>
                <w:rFonts w:hint="eastAsia" w:ascii="仿宋_GB2312" w:eastAsia="仿宋_GB2312"/>
                <w:sz w:val="21"/>
                <w:szCs w:val="21"/>
                <w:lang w:eastAsia="zh-CN"/>
              </w:rPr>
              <w:t>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5" w:hRule="atLeast"/>
        </w:trPr>
        <w:tc>
          <w:tcPr>
            <w:tcW w:w="1079" w:type="dxa"/>
            <w:noWrap w:val="0"/>
            <w:vAlign w:val="center"/>
          </w:tcPr>
          <w:p>
            <w:pPr>
              <w:jc w:val="center"/>
              <w:rPr>
                <w:rFonts w:hint="eastAsia" w:ascii="方正小标宋简体" w:eastAsia="方正小标宋简体"/>
                <w:sz w:val="28"/>
                <w:szCs w:val="28"/>
              </w:rPr>
            </w:pPr>
            <w:r>
              <w:rPr>
                <w:rFonts w:hint="eastAsia" w:ascii="方正小标宋简体" w:eastAsia="方正小标宋简体"/>
                <w:sz w:val="24"/>
                <w:szCs w:val="24"/>
              </w:rPr>
              <w:t>开发区</w:t>
            </w:r>
          </w:p>
        </w:tc>
        <w:tc>
          <w:tcPr>
            <w:tcW w:w="6377" w:type="dxa"/>
            <w:noWrap w:val="0"/>
            <w:vAlign w:val="center"/>
          </w:tcPr>
          <w:p>
            <w:pPr>
              <w:spacing w:line="240" w:lineRule="exact"/>
              <w:jc w:val="both"/>
              <w:rPr>
                <w:rFonts w:hint="eastAsia" w:ascii="仿宋_GB2312" w:eastAsia="仿宋_GB2312"/>
                <w:szCs w:val="21"/>
              </w:rPr>
            </w:pPr>
            <w:r>
              <w:rPr>
                <w:rFonts w:hint="eastAsia" w:ascii="仿宋_GB2312" w:eastAsia="仿宋_GB2312"/>
                <w:szCs w:val="21"/>
              </w:rPr>
              <w:t>开展动物防疫整村推进，推广“321”防疫新技术，确保重大动物免疫密度达到100%，免疫抗体监测合格率达到70%以上，切实做好辖区内重大动物疫病防控工作，及时果断处置零星动物疫情，确保不发生区域性</w:t>
            </w:r>
            <w:r>
              <w:rPr>
                <w:rFonts w:hint="eastAsia" w:ascii="仿宋_GB2312" w:eastAsia="仿宋_GB2312"/>
                <w:szCs w:val="21"/>
                <w:lang w:eastAsia="zh-CN"/>
              </w:rPr>
              <w:t>重大</w:t>
            </w:r>
            <w:r>
              <w:rPr>
                <w:rFonts w:hint="eastAsia" w:ascii="仿宋_GB2312" w:eastAsia="仿宋_GB2312"/>
                <w:szCs w:val="21"/>
              </w:rPr>
              <w:t>动物疫情，推动畜牧业健康稳步发展。资金主要用于重大动物疫病防控物资购置、动物疫病监测、防疫防堵、防疫检查</w:t>
            </w:r>
            <w:r>
              <w:rPr>
                <w:rFonts w:hint="eastAsia" w:ascii="仿宋_GB2312" w:eastAsia="仿宋_GB2312"/>
                <w:szCs w:val="21"/>
                <w:lang w:eastAsia="zh-CN"/>
              </w:rPr>
              <w:t>、强制扑杀补助、无害化处理</w:t>
            </w:r>
            <w:r>
              <w:rPr>
                <w:rFonts w:hint="eastAsia" w:ascii="仿宋_GB2312" w:eastAsia="仿宋_GB2312"/>
                <w:szCs w:val="21"/>
              </w:rPr>
              <w:t>等。</w:t>
            </w:r>
          </w:p>
        </w:tc>
        <w:tc>
          <w:tcPr>
            <w:tcW w:w="753" w:type="dxa"/>
            <w:noWrap w:val="0"/>
            <w:vAlign w:val="center"/>
          </w:tcPr>
          <w:p>
            <w:pPr>
              <w:jc w:val="center"/>
              <w:rPr>
                <w:rFonts w:hint="eastAsia" w:ascii="方正小标宋简体" w:eastAsia="方正小标宋简体"/>
                <w:sz w:val="24"/>
                <w:szCs w:val="24"/>
                <w:lang w:eastAsia="zh-CN"/>
              </w:rPr>
            </w:pPr>
            <w:r>
              <w:rPr>
                <w:rFonts w:hint="eastAsia" w:ascii="方正小标宋简体" w:eastAsia="方正小标宋简体"/>
                <w:sz w:val="24"/>
                <w:szCs w:val="24"/>
                <w:lang w:val="en-US" w:eastAsia="zh-CN"/>
              </w:rPr>
              <w:t>2</w:t>
            </w:r>
          </w:p>
        </w:tc>
        <w:tc>
          <w:tcPr>
            <w:tcW w:w="1251" w:type="dxa"/>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1"/>
                <w:szCs w:val="21"/>
                <w:lang w:eastAsia="zh-CN"/>
              </w:rPr>
              <w:t>开发区社会事业局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1079" w:type="dxa"/>
            <w:vMerge w:val="restart"/>
            <w:noWrap w:val="0"/>
            <w:vAlign w:val="center"/>
          </w:tcPr>
          <w:p>
            <w:pPr>
              <w:jc w:val="center"/>
              <w:rPr>
                <w:rFonts w:hint="eastAsia" w:ascii="方正小标宋简体" w:eastAsia="方正小标宋简体"/>
                <w:sz w:val="28"/>
                <w:szCs w:val="28"/>
              </w:rPr>
            </w:pPr>
            <w:r>
              <w:rPr>
                <w:rFonts w:hint="eastAsia" w:ascii="方正小标宋简体" w:eastAsia="方正小标宋简体"/>
                <w:sz w:val="28"/>
                <w:szCs w:val="28"/>
              </w:rPr>
              <w:t>州级</w:t>
            </w:r>
          </w:p>
        </w:tc>
        <w:tc>
          <w:tcPr>
            <w:tcW w:w="6377" w:type="dxa"/>
            <w:noWrap w:val="0"/>
            <w:vAlign w:val="center"/>
          </w:tcPr>
          <w:p>
            <w:pPr>
              <w:spacing w:line="240" w:lineRule="exact"/>
              <w:jc w:val="both"/>
              <w:rPr>
                <w:rFonts w:hint="eastAsia" w:ascii="仿宋_GB2312" w:eastAsia="仿宋_GB2312"/>
                <w:szCs w:val="21"/>
                <w:lang w:eastAsia="zh-CN"/>
              </w:rPr>
            </w:pPr>
            <w:r>
              <w:rPr>
                <w:rFonts w:hint="eastAsia" w:ascii="仿宋_GB2312" w:eastAsia="仿宋_GB2312"/>
                <w:szCs w:val="21"/>
                <w:lang w:eastAsia="zh-CN"/>
              </w:rPr>
              <w:t>督促检查重大动物疫病防控工作</w:t>
            </w:r>
          </w:p>
        </w:tc>
        <w:tc>
          <w:tcPr>
            <w:tcW w:w="753" w:type="dxa"/>
            <w:noWrap w:val="0"/>
            <w:vAlign w:val="center"/>
          </w:tcPr>
          <w:p>
            <w:pPr>
              <w:jc w:val="center"/>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5</w:t>
            </w:r>
          </w:p>
        </w:tc>
        <w:tc>
          <w:tcPr>
            <w:tcW w:w="1251" w:type="dxa"/>
            <w:noWrap w:val="0"/>
            <w:vAlign w:val="center"/>
          </w:tcPr>
          <w:p>
            <w:pPr>
              <w:spacing w:line="320" w:lineRule="exact"/>
              <w:jc w:val="center"/>
              <w:rPr>
                <w:rFonts w:hint="eastAsia" w:ascii="仿宋_GB2312" w:eastAsia="仿宋_GB2312"/>
                <w:sz w:val="21"/>
                <w:szCs w:val="21"/>
                <w:lang w:eastAsia="zh-CN"/>
              </w:rPr>
            </w:pPr>
            <w:r>
              <w:rPr>
                <w:rFonts w:hint="eastAsia" w:ascii="仿宋_GB2312" w:eastAsia="仿宋_GB2312"/>
                <w:sz w:val="21"/>
                <w:szCs w:val="21"/>
                <w:lang w:eastAsia="zh-CN"/>
              </w:rPr>
              <w:t>州农业农村局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1079" w:type="dxa"/>
            <w:vMerge w:val="continue"/>
            <w:noWrap w:val="0"/>
            <w:vAlign w:val="center"/>
          </w:tcPr>
          <w:p>
            <w:pPr>
              <w:jc w:val="center"/>
              <w:rPr>
                <w:rFonts w:hint="eastAsia" w:ascii="方正小标宋简体" w:eastAsia="方正小标宋简体"/>
                <w:sz w:val="28"/>
                <w:szCs w:val="28"/>
              </w:rPr>
            </w:pPr>
          </w:p>
        </w:tc>
        <w:tc>
          <w:tcPr>
            <w:tcW w:w="6377" w:type="dxa"/>
            <w:noWrap w:val="0"/>
            <w:vAlign w:val="center"/>
          </w:tcPr>
          <w:p>
            <w:pPr>
              <w:spacing w:line="240" w:lineRule="exact"/>
              <w:jc w:val="both"/>
              <w:rPr>
                <w:rFonts w:hint="eastAsia" w:ascii="仿宋_GB2312" w:eastAsia="仿宋_GB2312"/>
                <w:szCs w:val="21"/>
              </w:rPr>
            </w:pPr>
            <w:r>
              <w:rPr>
                <w:rFonts w:hint="eastAsia" w:ascii="仿宋_GB2312" w:eastAsia="仿宋_GB2312"/>
                <w:szCs w:val="21"/>
              </w:rPr>
              <w:t>积极做好疫苗调运与配送，购置动物防疫应急物资；督促指导各县开展动物防疫整村推进，推广“321”防疫新技术，开展重大动物疫情监测，动物防疫工作检查，确保重大动物免疫密度达到100%，免疫抗体监测合格率达到70%以上。资金主要用于重大动物疫病防控物资购置、动物疫病监测、防疫防堵、防疫检查等</w:t>
            </w:r>
            <w:r>
              <w:rPr>
                <w:rFonts w:hint="eastAsia" w:ascii="仿宋_GB2312" w:eastAsia="仿宋_GB2312"/>
                <w:szCs w:val="21"/>
                <w:lang w:eastAsia="zh-CN"/>
              </w:rPr>
              <w:t>补助</w:t>
            </w:r>
            <w:r>
              <w:rPr>
                <w:rFonts w:hint="eastAsia" w:ascii="仿宋_GB2312" w:eastAsia="仿宋_GB2312"/>
                <w:szCs w:val="21"/>
              </w:rPr>
              <w:t>。</w:t>
            </w:r>
          </w:p>
        </w:tc>
        <w:tc>
          <w:tcPr>
            <w:tcW w:w="753" w:type="dxa"/>
            <w:noWrap w:val="0"/>
            <w:vAlign w:val="center"/>
          </w:tcPr>
          <w:p>
            <w:pPr>
              <w:jc w:val="center"/>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6.5</w:t>
            </w:r>
          </w:p>
        </w:tc>
        <w:tc>
          <w:tcPr>
            <w:tcW w:w="1251" w:type="dxa"/>
            <w:noWrap w:val="0"/>
            <w:vAlign w:val="center"/>
          </w:tcPr>
          <w:p>
            <w:pPr>
              <w:spacing w:line="320" w:lineRule="exact"/>
              <w:jc w:val="center"/>
              <w:rPr>
                <w:rFonts w:hint="eastAsia" w:ascii="仿宋_GB2312" w:eastAsia="仿宋_GB2312"/>
                <w:sz w:val="21"/>
                <w:szCs w:val="21"/>
              </w:rPr>
            </w:pPr>
            <w:r>
              <w:rPr>
                <w:rFonts w:hint="eastAsia" w:ascii="仿宋_GB2312" w:eastAsia="仿宋_GB2312"/>
                <w:sz w:val="21"/>
                <w:szCs w:val="21"/>
              </w:rPr>
              <w:t>州动物疫病预防控制中心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trPr>
        <w:tc>
          <w:tcPr>
            <w:tcW w:w="1079" w:type="dxa"/>
            <w:vMerge w:val="continue"/>
            <w:noWrap w:val="0"/>
            <w:vAlign w:val="center"/>
          </w:tcPr>
          <w:p>
            <w:pPr>
              <w:jc w:val="center"/>
              <w:rPr>
                <w:rFonts w:hint="eastAsia" w:ascii="方正小标宋简体" w:eastAsia="方正小标宋简体"/>
                <w:sz w:val="28"/>
                <w:szCs w:val="28"/>
              </w:rPr>
            </w:pPr>
          </w:p>
        </w:tc>
        <w:tc>
          <w:tcPr>
            <w:tcW w:w="6377" w:type="dxa"/>
            <w:noWrap w:val="0"/>
            <w:vAlign w:val="center"/>
          </w:tcPr>
          <w:p>
            <w:pPr>
              <w:spacing w:line="240" w:lineRule="exact"/>
              <w:jc w:val="both"/>
              <w:rPr>
                <w:rFonts w:hint="eastAsia" w:ascii="仿宋_GB2312" w:eastAsia="仿宋_GB2312"/>
                <w:szCs w:val="21"/>
              </w:rPr>
            </w:pPr>
            <w:r>
              <w:rPr>
                <w:rFonts w:hint="eastAsia" w:ascii="仿宋_GB2312" w:eastAsia="仿宋_GB2312"/>
                <w:szCs w:val="21"/>
              </w:rPr>
              <w:t>督促指导县乡开展产地检疫、屠宰检疫，加强动物及动物产品监管，</w:t>
            </w:r>
            <w:r>
              <w:rPr>
                <w:rFonts w:hint="eastAsia" w:ascii="仿宋_GB2312" w:eastAsia="仿宋_GB2312"/>
                <w:szCs w:val="21"/>
                <w:lang w:eastAsia="zh-CN"/>
              </w:rPr>
              <w:t>规模</w:t>
            </w:r>
            <w:r>
              <w:rPr>
                <w:rFonts w:hint="eastAsia" w:ascii="仿宋_GB2312" w:eastAsia="仿宋_GB2312"/>
                <w:szCs w:val="21"/>
              </w:rPr>
              <w:t>养殖</w:t>
            </w:r>
            <w:r>
              <w:rPr>
                <w:rFonts w:hint="eastAsia" w:ascii="仿宋_GB2312" w:eastAsia="仿宋_GB2312"/>
                <w:szCs w:val="21"/>
                <w:lang w:eastAsia="zh-CN"/>
              </w:rPr>
              <w:t>场及养殖</w:t>
            </w:r>
            <w:r>
              <w:rPr>
                <w:rFonts w:hint="eastAsia" w:ascii="仿宋_GB2312" w:eastAsia="仿宋_GB2312"/>
                <w:szCs w:val="21"/>
              </w:rPr>
              <w:t>小区产地检疫率达到100%，切实加强养殖、加工、流通环节的监管，从源头上有效控制动物疫病传播流行，确保肉食品安全。</w:t>
            </w:r>
          </w:p>
        </w:tc>
        <w:tc>
          <w:tcPr>
            <w:tcW w:w="753" w:type="dxa"/>
            <w:noWrap w:val="0"/>
            <w:vAlign w:val="center"/>
          </w:tcPr>
          <w:p>
            <w:pPr>
              <w:jc w:val="center"/>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6.5</w:t>
            </w:r>
          </w:p>
        </w:tc>
        <w:tc>
          <w:tcPr>
            <w:tcW w:w="1251" w:type="dxa"/>
            <w:noWrap w:val="0"/>
            <w:vAlign w:val="center"/>
          </w:tcPr>
          <w:p>
            <w:pPr>
              <w:spacing w:line="320" w:lineRule="exact"/>
              <w:jc w:val="center"/>
              <w:rPr>
                <w:rFonts w:hint="eastAsia" w:ascii="仿宋_GB2312" w:eastAsia="仿宋_GB2312"/>
                <w:sz w:val="21"/>
                <w:szCs w:val="21"/>
              </w:rPr>
            </w:pPr>
            <w:r>
              <w:rPr>
                <w:rFonts w:hint="eastAsia" w:ascii="仿宋_GB2312" w:eastAsia="仿宋_GB2312"/>
                <w:sz w:val="21"/>
                <w:szCs w:val="21"/>
              </w:rPr>
              <w:t>州动物卫生监督所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trPr>
        <w:tc>
          <w:tcPr>
            <w:tcW w:w="1079" w:type="dxa"/>
            <w:noWrap w:val="0"/>
            <w:vAlign w:val="center"/>
          </w:tcPr>
          <w:p>
            <w:pPr>
              <w:jc w:val="center"/>
              <w:rPr>
                <w:rFonts w:hint="eastAsia" w:ascii="方正小标宋简体" w:eastAsia="方正小标宋简体"/>
                <w:sz w:val="28"/>
                <w:szCs w:val="28"/>
              </w:rPr>
            </w:pPr>
            <w:r>
              <w:rPr>
                <w:rFonts w:hint="eastAsia" w:ascii="方正小标宋简体" w:eastAsia="方正小标宋简体"/>
                <w:sz w:val="28"/>
                <w:szCs w:val="28"/>
              </w:rPr>
              <w:t>合计</w:t>
            </w:r>
          </w:p>
        </w:tc>
        <w:tc>
          <w:tcPr>
            <w:tcW w:w="6377" w:type="dxa"/>
            <w:noWrap w:val="0"/>
            <w:vAlign w:val="center"/>
          </w:tcPr>
          <w:p>
            <w:pPr>
              <w:spacing w:line="240" w:lineRule="exact"/>
              <w:jc w:val="both"/>
              <w:rPr>
                <w:rFonts w:hint="eastAsia" w:ascii="方正小标宋简体" w:eastAsia="方正小标宋简体"/>
                <w:szCs w:val="21"/>
              </w:rPr>
            </w:pPr>
          </w:p>
        </w:tc>
        <w:tc>
          <w:tcPr>
            <w:tcW w:w="753" w:type="dxa"/>
            <w:noWrap w:val="0"/>
            <w:vAlign w:val="center"/>
          </w:tcPr>
          <w:p>
            <w:pPr>
              <w:jc w:val="center"/>
              <w:rPr>
                <w:rFonts w:hint="eastAsia" w:ascii="方正小标宋简体" w:eastAsia="方正小标宋简体"/>
                <w:sz w:val="24"/>
                <w:szCs w:val="24"/>
                <w:lang w:eastAsia="zh-CN"/>
              </w:rPr>
            </w:pPr>
            <w:r>
              <w:rPr>
                <w:rFonts w:hint="eastAsia" w:ascii="方正小标宋简体" w:eastAsia="方正小标宋简体"/>
                <w:sz w:val="24"/>
                <w:szCs w:val="24"/>
                <w:lang w:val="en-US" w:eastAsia="zh-CN"/>
              </w:rPr>
              <w:t>100</w:t>
            </w:r>
          </w:p>
        </w:tc>
        <w:tc>
          <w:tcPr>
            <w:tcW w:w="1251" w:type="dxa"/>
            <w:noWrap w:val="0"/>
            <w:vAlign w:val="center"/>
          </w:tcPr>
          <w:p>
            <w:pPr>
              <w:jc w:val="center"/>
              <w:rPr>
                <w:rFonts w:hint="eastAsia" w:ascii="方正小标宋简体" w:eastAsia="方正小标宋简体"/>
                <w:sz w:val="28"/>
                <w:szCs w:val="28"/>
              </w:rPr>
            </w:pPr>
          </w:p>
        </w:tc>
      </w:tr>
    </w:tbl>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3.资金来源及使用情况。</w:t>
      </w: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i w:val="0"/>
          <w:caps w:val="0"/>
          <w:color w:val="333333"/>
          <w:spacing w:val="0"/>
          <w:sz w:val="32"/>
          <w:szCs w:val="32"/>
          <w:shd w:val="clear" w:fill="FFFFFF"/>
          <w:lang w:val="en-US" w:eastAsia="zh-CN"/>
        </w:rPr>
        <w:t>根据《迪庆州财政局  迪庆州农业农村局关于下达2019年州级重大动物疫病防控项目资金和计划的通知》（迪财农【2019】21号文件）要求，全部用于2019年秋季猪瘟、猪蓝耳病疫苗采购，预算资金100万元，实际支出100万元。</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lang w:val="en-US" w:eastAsia="zh-CN"/>
        </w:rPr>
      </w:pPr>
      <w:r>
        <w:rPr>
          <w:rFonts w:hint="eastAsia" w:ascii="方正仿宋_GBK" w:hAnsi="方正仿宋_GBK" w:eastAsia="方正仿宋_GBK" w:cs="方正仿宋_GBK"/>
          <w:b/>
          <w:bCs/>
          <w:sz w:val="32"/>
          <w:szCs w:val="32"/>
          <w:lang w:val="en-US" w:eastAsia="zh-CN"/>
        </w:rPr>
        <w:t>4.组织及管理情况。</w:t>
      </w:r>
    </w:p>
    <w:p>
      <w:pPr>
        <w:keepNext w:val="0"/>
        <w:keepLines w:val="0"/>
        <w:pageBreakBefore w:val="0"/>
        <w:widowControl w:val="0"/>
        <w:numPr>
          <w:numId w:val="0"/>
        </w:numPr>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i w:val="0"/>
          <w:caps w:val="0"/>
          <w:color w:val="333333"/>
          <w:spacing w:val="0"/>
          <w:sz w:val="32"/>
          <w:szCs w:val="32"/>
          <w:shd w:val="clear" w:fill="FFFFFF"/>
          <w:lang w:val="en-US" w:eastAsia="zh-CN"/>
        </w:rPr>
      </w:pPr>
      <w:r>
        <w:rPr>
          <w:rFonts w:hint="eastAsia" w:ascii="方正仿宋_GBK" w:hAnsi="方正仿宋_GBK" w:eastAsia="方正仿宋_GBK" w:cs="方正仿宋_GBK"/>
          <w:i w:val="0"/>
          <w:caps w:val="0"/>
          <w:color w:val="333333"/>
          <w:spacing w:val="0"/>
          <w:sz w:val="32"/>
          <w:szCs w:val="32"/>
          <w:shd w:val="clear" w:fill="FFFFFF"/>
          <w:lang w:val="en-US" w:eastAsia="zh-CN"/>
        </w:rPr>
        <w:t>为切实做好2019年“重大动物疫病防控”及“非洲猪瘟防控和应急处置”工作，严格落实好疫苗订购、应急物资采购等相关采购程序，有效保证好疫苗及应急物资的质量，特成立2019年“重大动物疫病防控”及“非洲猪瘟防控和应急处置”采购询价领导小组。在省对参加政府采购的供应商进行资格审核；按照《中华人民共和国政府采购法》有关规定发出询价通知书，明确评价标准、评价办法、成交原则等；审查供应商的报价文件并做出评价；由采购询价小组确定供应商，疫苗到达经验收合格后，由财务将货款打到供货商指定账户。</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（二）绩效目标。</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1.总目标。</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集中免疫期间猪瘟、猪蓝耳病免疫密度达应免数100%，常年免疫密度达80%以上，免疫抗体监测合格率达到70%以上。</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2.年度目标。</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有效开展非洲猪瘟临床症状产地检疫，对限制调运省份（地州）的外调生猪每批次均开展检测。</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有效开展非洲猪瘟临床症状屠宰检疫，对规模屠宰场屠宰生猪至少抽检</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O%的批次。</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在省（州）际间检查站有效开展监督检查，对生猪运输车辆实施查验、消毒。</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根据非洲猪瘟疫情防控需要，统筹使用专项资金，确保非洲猪瘟防控措施落实到位。</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二、绩效评价工作情况</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（一）绩效评价目的。</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（二）绩效评价工作方案制定过程。</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前期调研。一是高度重视,加强组织领导,把绩效考核工作作为当前的一项重点工作来研究和部署。二是落实责任,强化考核任务落实,细化落实措施,做好工作谋划和考评指标跟踪、监控与问题整改。成立了预算绩效自评工作领导小组，切实加强对绩效工作的组织领导。三是收集整理资料。评价小组收集了相关规章、制度、职责、工作计划等各种资料。</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2.研究文件</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收集与项目预算、管理、绩效相关的评价资料</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3.绩效评价指标体系及工作方案的设计</w:t>
      </w:r>
      <w:r>
        <w:rPr>
          <w:rFonts w:hint="eastAsia" w:ascii="方正仿宋_GBK" w:hAnsi="方正仿宋_GBK" w:eastAsia="方正仿宋_GBK" w:cs="方正仿宋_GBK"/>
          <w:sz w:val="32"/>
          <w:szCs w:val="32"/>
          <w:lang w:val="en-US" w:eastAsia="zh-CN"/>
        </w:rPr>
        <w:t>：通过前期调研和准备工作，各县（市）及相关站所制定了《2019年重大动物疫病防控及非洲猪防控工作方案》，签定了《重大动物疫病防控目标管理责任书》，结合实际制定了“2019年重大动物疫病防控考核评分标准”。</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（三）绩效评价原则、评价方法</w:t>
      </w:r>
    </w:p>
    <w:p>
      <w:pPr>
        <w:keepNext w:val="0"/>
        <w:keepLines w:val="0"/>
        <w:pageBreakBefore w:val="0"/>
        <w:kinsoku/>
        <w:wordWrap/>
        <w:overflowPunct/>
        <w:topLinePunct/>
        <w:autoSpaceDE/>
        <w:autoSpaceDN/>
        <w:bidi w:val="0"/>
        <w:spacing w:line="360" w:lineRule="auto"/>
        <w:ind w:left="0" w:leftChars="0" w:right="0" w:rightChars="0" w:firstLine="640" w:firstLineChars="200"/>
        <w:textAlignment w:val="auto"/>
        <w:outlineLvl w:val="9"/>
        <w:rPr>
          <w:rFonts w:hint="eastAsia" w:ascii="方正仿宋_GBK" w:hAnsi="方正仿宋_GBK" w:eastAsia="方正仿宋_GBK" w:cs="方正仿宋_GBK"/>
          <w:kern w:val="0"/>
          <w:sz w:val="32"/>
          <w:szCs w:val="32"/>
          <w:lang w:val="en-US" w:eastAsia="zh-CN" w:bidi="ar-SA"/>
        </w:rPr>
      </w:pPr>
      <w:r>
        <w:rPr>
          <w:rFonts w:hint="eastAsia" w:ascii="方正仿宋_GBK" w:hAnsi="方正仿宋_GBK" w:eastAsia="方正仿宋_GBK" w:cs="方正仿宋_GBK"/>
          <w:sz w:val="32"/>
          <w:szCs w:val="32"/>
        </w:rPr>
        <w:t>1.绩效评价原则。</w:t>
      </w:r>
      <w:r>
        <w:rPr>
          <w:rFonts w:hint="eastAsia" w:ascii="方正仿宋_GBK" w:hAnsi="方正仿宋_GBK" w:eastAsia="方正仿宋_GBK" w:cs="方正仿宋_GBK"/>
          <w:kern w:val="0"/>
          <w:sz w:val="32"/>
          <w:szCs w:val="32"/>
          <w:lang w:val="en-US" w:eastAsia="zh-CN" w:bidi="ar-SA"/>
        </w:rPr>
        <w:t>一是科学规范；二是公开公正；三是分级分项原则；四是绩效相关原则。</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2.绩效评价方法。首先建立评价指标体系，然后根据项目提交的执行情况总结和《项目绩效目标表》中的</w:t>
      </w:r>
      <w:r>
        <w:rPr>
          <w:rFonts w:hint="eastAsia" w:ascii="方正仿宋_GBK" w:hAnsi="方正仿宋_GBK" w:eastAsia="方正仿宋_GBK" w:cs="方正仿宋_GBK"/>
          <w:sz w:val="32"/>
          <w:szCs w:val="32"/>
          <w:lang w:eastAsia="zh-CN"/>
        </w:rPr>
        <w:t>数量</w:t>
      </w:r>
      <w:r>
        <w:rPr>
          <w:rFonts w:hint="eastAsia" w:ascii="方正仿宋_GBK" w:hAnsi="方正仿宋_GBK" w:eastAsia="方正仿宋_GBK" w:cs="方正仿宋_GBK"/>
          <w:sz w:val="32"/>
          <w:szCs w:val="32"/>
        </w:rPr>
        <w:t>指标、</w:t>
      </w:r>
      <w:r>
        <w:rPr>
          <w:rFonts w:hint="eastAsia" w:ascii="方正仿宋_GBK" w:hAnsi="方正仿宋_GBK" w:eastAsia="方正仿宋_GBK" w:cs="方正仿宋_GBK"/>
          <w:sz w:val="32"/>
          <w:szCs w:val="32"/>
          <w:lang w:eastAsia="zh-CN"/>
        </w:rPr>
        <w:t>质量</w:t>
      </w:r>
      <w:r>
        <w:rPr>
          <w:rFonts w:hint="eastAsia" w:ascii="方正仿宋_GBK" w:hAnsi="方正仿宋_GBK" w:eastAsia="方正仿宋_GBK" w:cs="方正仿宋_GBK"/>
          <w:sz w:val="32"/>
          <w:szCs w:val="32"/>
        </w:rPr>
        <w:t>指标和满意度指标等方面的情况进行打分，并形成自评报告。</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（四）绩效评价实施过程</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1.数据填报和采集。严格督促各乡镇做好疫苗出入库登记，免疫过程中要求村级动物防疫员认真填写免疫户口册及做好免疫数据登记、汇总；乡镇兽医站在集中免疫结束后将工作情况总结及数据按时报县兽医站。</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2.社会调查。在集中免疫期间，认真组织做好“县包乡、乡包村、村包户”，县乡二级业务部门不定期进村入户开展督促、指导及检查，确保疫苗利用率及免疫密度。</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3.数据分析。结合乡镇上报的数据对疫苗入库及发放记录进行检查，实地入户检查免疫户口册，核实免疫数据。</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（五）本次绩效评价的局限性。</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建议上半年完成中央、省转移支付资金足额地拨付到单位，避免出现年底拨付、跨年使用的情况。</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三、评价结论和绩效分析</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（一）评价结论。</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1.评价结果。</w:t>
      </w:r>
    </w:p>
    <w:p>
      <w:pPr>
        <w:keepNext w:val="0"/>
        <w:keepLines w:val="0"/>
        <w:pageBreakBefore w:val="0"/>
        <w:widowControl w:val="0"/>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按相关文件要求，完成了全县猪瘟、猪蓝耳疫苗采购及免疫工作</w:t>
      </w:r>
      <w:r>
        <w:rPr>
          <w:rFonts w:hint="eastAsia" w:ascii="方正仿宋_GBK" w:hAnsi="方正仿宋_GBK" w:eastAsia="方正仿宋_GBK" w:cs="方正仿宋_GBK"/>
          <w:sz w:val="32"/>
          <w:szCs w:val="32"/>
          <w:lang w:eastAsia="zh-CN"/>
        </w:rPr>
        <w:t>，自评为优。</w:t>
      </w:r>
    </w:p>
    <w:p>
      <w:pPr>
        <w:keepNext w:val="0"/>
        <w:keepLines w:val="0"/>
        <w:pageBreakBefore w:val="0"/>
        <w:widowControl w:val="0"/>
        <w:numPr>
          <w:ilvl w:val="0"/>
          <w:numId w:val="2"/>
        </w:numPr>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主要绩效。</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（二）具体绩效分析。</w:t>
      </w:r>
      <w:r>
        <w:rPr>
          <w:rFonts w:hint="eastAsia" w:ascii="方正仿宋_GBK" w:hAnsi="方正仿宋_GBK" w:eastAsia="方正仿宋_GBK" w:cs="方正仿宋_GBK"/>
          <w:sz w:val="32"/>
          <w:szCs w:val="32"/>
        </w:rPr>
        <w:t>对照绩效评价指标体系逐项进行分析、评价并打分。</w:t>
      </w:r>
    </w:p>
    <w:p>
      <w:pPr>
        <w:keepNext w:val="0"/>
        <w:keepLines w:val="0"/>
        <w:pageBreakBefore w:val="0"/>
        <w:widowControl w:val="0"/>
        <w:numPr>
          <w:numId w:val="0"/>
        </w:numPr>
        <w:kinsoku/>
        <w:wordWrap/>
        <w:overflowPunct/>
        <w:topLinePunct/>
        <w:autoSpaceDE/>
        <w:autoSpaceDN/>
        <w:bidi w:val="0"/>
        <w:adjustRightInd/>
        <w:snapToGrid/>
        <w:spacing w:line="360" w:lineRule="auto"/>
        <w:textAlignment w:val="auto"/>
        <w:rPr>
          <w:rFonts w:hint="eastAsia" w:ascii="方正仿宋_GBK" w:hAnsi="方正仿宋_GBK" w:eastAsia="方正仿宋_GBK" w:cs="方正仿宋_GBK"/>
          <w:sz w:val="32"/>
          <w:szCs w:val="32"/>
        </w:rPr>
      </w:pPr>
    </w:p>
    <w:tbl>
      <w:tblPr>
        <w:tblStyle w:val="3"/>
        <w:tblpPr w:leftFromText="180" w:rightFromText="180" w:vertAnchor="text" w:horzAnchor="page" w:tblpX="228" w:tblpY="1"/>
        <w:tblOverlap w:val="never"/>
        <w:tblW w:w="110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125"/>
        <w:gridCol w:w="1530"/>
        <w:gridCol w:w="960"/>
        <w:gridCol w:w="810"/>
        <w:gridCol w:w="900"/>
        <w:gridCol w:w="900"/>
        <w:gridCol w:w="960"/>
        <w:gridCol w:w="960"/>
        <w:gridCol w:w="96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一级指标</w:t>
            </w:r>
          </w:p>
        </w:tc>
        <w:tc>
          <w:tcPr>
            <w:tcW w:w="814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二级指标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绩效指标完成情况分析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1.项目绩效指标完成分析</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指标类型</w:t>
            </w:r>
          </w:p>
        </w:tc>
        <w:tc>
          <w:tcPr>
            <w:tcW w:w="15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项目绩效指标名称</w:t>
            </w:r>
          </w:p>
        </w:tc>
        <w:tc>
          <w:tcPr>
            <w:tcW w:w="549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申报项目确定的预期绩效指标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7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绩效标准</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指标值（项目绩效目标预计完成情况）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执行完毕绩效指标</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良</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差</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强制免疫病种应免畜禽的免疫密度（%）</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w:t>
            </w:r>
            <w:r>
              <w:rPr>
                <w:rStyle w:val="9"/>
                <w:lang w:val="en-US" w:eastAsia="zh-CN" w:bidi="ar"/>
              </w:rPr>
              <w:t>90%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≥85</w:t>
            </w:r>
            <w:r>
              <w:rPr>
                <w:rStyle w:val="9"/>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≥80</w:t>
            </w:r>
            <w:r>
              <w:rPr>
                <w:rStyle w:val="9"/>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≥75</w:t>
            </w:r>
            <w:r>
              <w:rPr>
                <w:rStyle w:val="9"/>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发放强制扑杀及无害化处理补助完成率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Arial" w:hAnsi="Arial" w:eastAsia="宋体" w:cs="Arial"/>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依法对重大动物疫情处置率（%）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≥95</w:t>
            </w:r>
            <w:r>
              <w:rPr>
                <w:rStyle w:val="9"/>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w:t>
            </w:r>
            <w:r>
              <w:rPr>
                <w:rStyle w:val="9"/>
                <w:lang w:val="en-US" w:eastAsia="zh-CN" w:bidi="ar"/>
              </w:rPr>
              <w:t>90%</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r>
              <w:rPr>
                <w:rStyle w:val="9"/>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重大动物免疫密度</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免疫质量和免疫效果</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除去布病外其他病种的平均免疫抗体合格率达到</w:t>
            </w:r>
            <w:r>
              <w:rPr>
                <w:rStyle w:val="10"/>
                <w:rFonts w:eastAsia="宋体"/>
                <w:lang w:val="en-US" w:eastAsia="zh-CN" w:bidi="ar"/>
              </w:rPr>
              <w:t>70%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除去布病外其他病种的平均免疫抗体合格率达到</w:t>
            </w:r>
            <w:r>
              <w:rPr>
                <w:rStyle w:val="10"/>
                <w:rFonts w:eastAsia="宋体"/>
                <w:lang w:val="en-US" w:eastAsia="zh-CN" w:bidi="ar"/>
              </w:rPr>
              <w:t>70%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使用资金无重大违纪事项</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口蹄疫、高致病性禽流感、布病等优先防治病种防治工作</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疫情保持平稳</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疫情保持平稳</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疫情保持平稳</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养殖场（户）满意度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≥8</w:t>
            </w:r>
            <w:r>
              <w:rPr>
                <w:rStyle w:val="9"/>
                <w:lang w:val="en-US" w:eastAsia="zh-CN" w:bidi="ar"/>
              </w:rPr>
              <w:t>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≥75</w:t>
            </w:r>
            <w:r>
              <w:rPr>
                <w:rStyle w:val="9"/>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≥70</w:t>
            </w:r>
            <w:r>
              <w:rPr>
                <w:rStyle w:val="9"/>
                <w:lang w:val="en-US" w:eastAsia="zh-CN" w:bidi="ar"/>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宋体" w:cs="Arial"/>
                <w:i w:val="0"/>
                <w:color w:val="000000"/>
                <w:sz w:val="22"/>
                <w:szCs w:val="22"/>
                <w:u w:val="none"/>
              </w:rPr>
            </w:pPr>
            <w:r>
              <w:rPr>
                <w:rFonts w:hint="default" w:ascii="Arial" w:hAnsi="Arial" w:eastAsia="宋体" w:cs="Arial"/>
                <w:i w:val="0"/>
                <w:color w:val="000000"/>
                <w:kern w:val="0"/>
                <w:sz w:val="22"/>
                <w:szCs w:val="22"/>
                <w:u w:val="none"/>
                <w:lang w:val="en-US" w:eastAsia="zh-CN" w:bidi="ar"/>
              </w:rPr>
              <w:t>≥65</w:t>
            </w:r>
            <w:r>
              <w:rPr>
                <w:rStyle w:val="9"/>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优</w:t>
            </w:r>
          </w:p>
        </w:tc>
      </w:tr>
    </w:tbl>
    <w:p>
      <w:pPr>
        <w:keepNext w:val="0"/>
        <w:keepLines w:val="0"/>
        <w:pageBreakBefore w:val="0"/>
        <w:widowControl w:val="0"/>
        <w:kinsoku/>
        <w:wordWrap/>
        <w:overflowPunct/>
        <w:topLinePunct/>
        <w:autoSpaceDE/>
        <w:autoSpaceDN/>
        <w:bidi w:val="0"/>
        <w:adjustRightInd/>
        <w:snapToGrid/>
        <w:spacing w:line="360" w:lineRule="auto"/>
        <w:textAlignment w:val="auto"/>
        <w:rPr>
          <w:rFonts w:hint="eastAsia" w:ascii="方正仿宋_GBK" w:hAnsi="方正仿宋_GBK" w:eastAsia="方正仿宋_GBK" w:cs="方正仿宋_GBK"/>
          <w:sz w:val="32"/>
          <w:szCs w:val="32"/>
        </w:rPr>
      </w:pPr>
    </w:p>
    <w:p>
      <w:pPr>
        <w:keepNext w:val="0"/>
        <w:keepLines w:val="0"/>
        <w:pageBreakBefore w:val="0"/>
        <w:widowControl w:val="0"/>
        <w:numPr>
          <w:ilvl w:val="0"/>
          <w:numId w:val="3"/>
        </w:numPr>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成本效益分析。</w:t>
      </w:r>
    </w:p>
    <w:p>
      <w:pPr>
        <w:keepNext w:val="0"/>
        <w:keepLines w:val="0"/>
        <w:pageBreakBefore w:val="0"/>
        <w:widowControl w:val="0"/>
        <w:numPr>
          <w:numId w:val="0"/>
        </w:numPr>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按《迪庆州财政局  迪庆州农业农村局关于下达2019年州级重大动物疫病防控项目资金和计划的通知》（迪财农【2019】21号文件）要求，严格资金使用流程，对资金使用过程严格监管，供货方将疫苗送达指定地点经工作人员清点、验收合格后，由局财务将资金汇到供货商指定帐户。通过猪瘟、猪蓝耳病疫苗的免疫注射，大大降低了猪瘟、猪蓝耳病的发病及死亡率，有效的维护了养殖户利益。。</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五、主要经验及做法、存在的问题和建议</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（一）主要经验及做法；</w:t>
      </w:r>
    </w:p>
    <w:p>
      <w:pPr>
        <w:keepNext w:val="0"/>
        <w:keepLines w:val="0"/>
        <w:pageBreakBefore w:val="0"/>
        <w:widowControl w:val="0"/>
        <w:kinsoku/>
        <w:wordWrap/>
        <w:overflowPunct/>
        <w:topLinePunct/>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成立采购工作小组，严格资金使用及拨付流程，制定实施方案，在项目实施过程中进行跟踪管理，结束后对项目进行绩效考评。</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（二）存在的问题；</w:t>
      </w:r>
    </w:p>
    <w:p>
      <w:pPr>
        <w:keepNext w:val="0"/>
        <w:keepLines w:val="0"/>
        <w:pageBreakBefore w:val="0"/>
        <w:widowControl w:val="0"/>
        <w:numPr>
          <w:ilvl w:val="0"/>
          <w:numId w:val="0"/>
        </w:numPr>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建议上半年完成中央、省转移支付资金足额地拨付到单位，避免出现年底拨付、跨年使用的情况。</w:t>
      </w:r>
    </w:p>
    <w:p>
      <w:pPr>
        <w:keepNext w:val="0"/>
        <w:keepLines w:val="0"/>
        <w:pageBreakBefore w:val="0"/>
        <w:widowControl w:val="0"/>
        <w:kinsoku/>
        <w:wordWrap/>
        <w:overflowPunct/>
        <w:topLinePunct/>
        <w:autoSpaceDE/>
        <w:autoSpaceDN/>
        <w:bidi w:val="0"/>
        <w:adjustRightInd/>
        <w:snapToGrid/>
        <w:spacing w:line="360" w:lineRule="auto"/>
        <w:ind w:firstLine="643" w:firstLineChars="200"/>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eastAsia="方正仿宋_GBK" w:cs="方正仿宋_GBK"/>
          <w:b/>
          <w:bCs/>
          <w:sz w:val="32"/>
          <w:szCs w:val="32"/>
        </w:rPr>
        <w:t>（三）建议和改进措施</w:t>
      </w:r>
      <w:r>
        <w:rPr>
          <w:rFonts w:hint="eastAsia" w:ascii="方正仿宋_GBK" w:hAnsi="方正仿宋_GBK" w:eastAsia="方正仿宋_GBK" w:cs="方正仿宋_GBK"/>
          <w:b/>
          <w:bCs/>
          <w:sz w:val="32"/>
          <w:szCs w:val="32"/>
          <w:lang w:eastAsia="zh-CN"/>
        </w:rPr>
        <w:t>：</w:t>
      </w:r>
    </w:p>
    <w:p>
      <w:pPr>
        <w:keepNext w:val="0"/>
        <w:keepLines w:val="0"/>
        <w:pageBreakBefore w:val="0"/>
        <w:widowControl w:val="0"/>
        <w:numPr>
          <w:ilvl w:val="0"/>
          <w:numId w:val="0"/>
        </w:numPr>
        <w:kinsoku/>
        <w:wordWrap/>
        <w:overflowPunct/>
        <w:autoSpaceDE/>
        <w:autoSpaceDN/>
        <w:bidi w:val="0"/>
        <w:adjustRightInd/>
        <w:snapToGrid/>
        <w:spacing w:line="360" w:lineRule="auto"/>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（1）建立完备的绩效评价指标体系,运用科学的评价方法切实提高绩效评价的规范化、科学化水平。</w:t>
      </w:r>
    </w:p>
    <w:p>
      <w:pPr>
        <w:keepNext w:val="0"/>
        <w:keepLines w:val="0"/>
        <w:pageBreakBefore w:val="0"/>
        <w:widowControl w:val="0"/>
        <w:numPr>
          <w:ilvl w:val="0"/>
          <w:numId w:val="0"/>
        </w:numPr>
        <w:kinsoku/>
        <w:wordWrap/>
        <w:overflowPunct/>
        <w:autoSpaceDE/>
        <w:autoSpaceDN/>
        <w:bidi w:val="0"/>
        <w:adjustRightInd/>
        <w:snapToGrid/>
        <w:spacing w:line="360" w:lineRule="auto"/>
        <w:ind w:firstLine="640" w:firstLineChars="200"/>
        <w:jc w:val="left"/>
        <w:textAlignment w:val="auto"/>
        <w:rPr>
          <w:rFonts w:hint="eastAsia" w:ascii="方正小标宋_GBK" w:hAnsi="方正小标宋_GBK" w:eastAsia="方正小标宋_GBK" w:cs="方正小标宋_GBK"/>
          <w:sz w:val="44"/>
          <w:szCs w:val="44"/>
          <w:lang w:val="en-US" w:eastAsia="zh-CN"/>
        </w:rPr>
      </w:pPr>
      <w:r>
        <w:rPr>
          <w:rFonts w:hint="eastAsia" w:ascii="方正仿宋_GBK" w:hAnsi="方正仿宋_GBK" w:eastAsia="方正仿宋_GBK" w:cs="方正仿宋_GBK"/>
          <w:sz w:val="32"/>
          <w:szCs w:val="32"/>
          <w:lang w:val="en-US" w:eastAsia="zh-CN"/>
        </w:rPr>
        <w:t>（2）加强业务培训，提高工作质量。</w:t>
      </w:r>
    </w:p>
    <w:p>
      <w:pPr>
        <w:spacing w:line="440" w:lineRule="exact"/>
        <w:jc w:val="center"/>
        <w:rPr>
          <w:rFonts w:hint="eastAsia" w:ascii="方正小标宋_GBK" w:eastAsia="方正小标宋_GBK"/>
          <w:sz w:val="32"/>
          <w:szCs w:val="32"/>
        </w:rPr>
      </w:pPr>
    </w:p>
    <w:p>
      <w:pPr>
        <w:spacing w:line="440" w:lineRule="exact"/>
        <w:jc w:val="center"/>
        <w:rPr>
          <w:rFonts w:hint="eastAsia" w:ascii="方正小标宋_GBK" w:eastAsia="方正小标宋_GBK"/>
          <w:sz w:val="32"/>
          <w:szCs w:val="32"/>
        </w:rPr>
      </w:pPr>
    </w:p>
    <w:p>
      <w:pPr>
        <w:spacing w:line="440" w:lineRule="exact"/>
        <w:jc w:val="center"/>
        <w:rPr>
          <w:rFonts w:hint="eastAsia" w:ascii="方正小标宋_GBK" w:eastAsia="方正小标宋_GBK"/>
          <w:sz w:val="32"/>
          <w:szCs w:val="32"/>
        </w:rPr>
      </w:pPr>
    </w:p>
    <w:p>
      <w:pPr>
        <w:spacing w:line="440" w:lineRule="exact"/>
        <w:jc w:val="center"/>
        <w:rPr>
          <w:rFonts w:hint="eastAsia" w:ascii="方正小标宋_GBK" w:eastAsia="方正小标宋_GBK"/>
          <w:sz w:val="32"/>
          <w:szCs w:val="32"/>
        </w:rPr>
      </w:pPr>
      <w:bookmarkStart w:id="0" w:name="_GoBack"/>
      <w:bookmarkEnd w:id="0"/>
    </w:p>
    <w:p>
      <w:pPr>
        <w:spacing w:line="440" w:lineRule="exact"/>
        <w:jc w:val="center"/>
        <w:rPr>
          <w:rFonts w:ascii="方正小标宋_GBK" w:eastAsia="方正小标宋_GBK"/>
          <w:sz w:val="32"/>
          <w:szCs w:val="32"/>
        </w:rPr>
      </w:pPr>
      <w:r>
        <w:rPr>
          <w:rFonts w:hint="eastAsia" w:ascii="方正小标宋_GBK" w:eastAsia="方正小标宋_GBK"/>
          <w:sz w:val="32"/>
          <w:szCs w:val="32"/>
        </w:rPr>
        <w:t>绩效评价报告正文后附以下佐证材料</w:t>
      </w:r>
    </w:p>
    <w:p>
      <w:pPr>
        <w:topLinePunct/>
        <w:spacing w:line="44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val="en-US" w:eastAsia="zh-CN"/>
        </w:rPr>
        <w:t>1.</w:t>
      </w:r>
      <w:r>
        <w:rPr>
          <w:rFonts w:hint="eastAsia" w:ascii="仿宋_GB2312" w:hAnsi="仿宋" w:eastAsia="仿宋_GB2312" w:cs="Times New Roman"/>
          <w:sz w:val="32"/>
          <w:szCs w:val="32"/>
          <w:lang w:eastAsia="zh-CN"/>
        </w:rPr>
        <w:t>绩效评价指标体系；（附件</w:t>
      </w:r>
      <w:r>
        <w:rPr>
          <w:rFonts w:hint="eastAsia" w:ascii="仿宋_GB2312" w:hAnsi="仿宋" w:eastAsia="仿宋_GB2312" w:cs="Times New Roman"/>
          <w:sz w:val="32"/>
          <w:szCs w:val="32"/>
          <w:lang w:val="en-US" w:eastAsia="zh-CN"/>
        </w:rPr>
        <w:t>1）</w:t>
      </w:r>
    </w:p>
    <w:p>
      <w:pPr>
        <w:topLinePunct/>
        <w:spacing w:line="44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eastAsia="zh-CN"/>
        </w:rPr>
        <w:t>2.基础数据表（附件</w:t>
      </w:r>
      <w:r>
        <w:rPr>
          <w:rFonts w:hint="eastAsia" w:ascii="仿宋_GB2312" w:hAnsi="仿宋" w:eastAsia="仿宋_GB2312" w:cs="Times New Roman"/>
          <w:sz w:val="32"/>
          <w:szCs w:val="32"/>
          <w:lang w:val="en-US" w:eastAsia="zh-CN"/>
        </w:rPr>
        <w:t>2</w:t>
      </w:r>
      <w:r>
        <w:rPr>
          <w:rFonts w:hint="eastAsia" w:ascii="仿宋_GB2312" w:hAnsi="仿宋" w:eastAsia="仿宋_GB2312" w:cs="Times New Roman"/>
          <w:sz w:val="32"/>
          <w:szCs w:val="32"/>
          <w:lang w:eastAsia="zh-CN"/>
        </w:rPr>
        <w:t>）；</w:t>
      </w:r>
    </w:p>
    <w:p>
      <w:pPr>
        <w:topLinePunct/>
        <w:spacing w:line="440" w:lineRule="exact"/>
        <w:ind w:firstLine="640" w:firstLineChars="200"/>
        <w:rPr>
          <w:rFonts w:hint="eastAsia" w:ascii="仿宋_GB2312" w:hAnsi="仿宋" w:eastAsia="仿宋_GB2312" w:cs="Times New Roman"/>
          <w:sz w:val="32"/>
          <w:szCs w:val="32"/>
          <w:lang w:eastAsia="zh-CN"/>
        </w:rPr>
      </w:pPr>
    </w:p>
    <w:p>
      <w:pPr>
        <w:spacing w:line="520" w:lineRule="exact"/>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PMingLiU">
    <w:panose1 w:val="02020500000000000000"/>
    <w:charset w:val="88"/>
    <w:family w:val="roman"/>
    <w:pitch w:val="default"/>
    <w:sig w:usb0="A00002FF" w:usb1="28CFFCFA" w:usb2="00000016" w:usb3="00000000" w:csb0="0010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3C6C4"/>
    <w:multiLevelType w:val="singleLevel"/>
    <w:tmpl w:val="8FA3C6C4"/>
    <w:lvl w:ilvl="0" w:tentative="0">
      <w:start w:val="4"/>
      <w:numFmt w:val="chineseCounting"/>
      <w:suff w:val="nothing"/>
      <w:lvlText w:val="%1、"/>
      <w:lvlJc w:val="left"/>
      <w:rPr>
        <w:rFonts w:hint="eastAsia"/>
      </w:rPr>
    </w:lvl>
  </w:abstractNum>
  <w:abstractNum w:abstractNumId="1">
    <w:nsid w:val="2BAC4DF8"/>
    <w:multiLevelType w:val="singleLevel"/>
    <w:tmpl w:val="2BAC4DF8"/>
    <w:lvl w:ilvl="0" w:tentative="0">
      <w:start w:val="2"/>
      <w:numFmt w:val="decimal"/>
      <w:lvlText w:val="%1."/>
      <w:lvlJc w:val="left"/>
      <w:pPr>
        <w:tabs>
          <w:tab w:val="left" w:pos="312"/>
        </w:tabs>
      </w:pPr>
    </w:lvl>
  </w:abstractNum>
  <w:abstractNum w:abstractNumId="2">
    <w:nsid w:val="60B48FF0"/>
    <w:multiLevelType w:val="singleLevel"/>
    <w:tmpl w:val="60B48FF0"/>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A44"/>
    <w:rsid w:val="00665BD3"/>
    <w:rsid w:val="00944A44"/>
    <w:rsid w:val="00955772"/>
    <w:rsid w:val="00BE269D"/>
    <w:rsid w:val="00E71ED4"/>
    <w:rsid w:val="01217191"/>
    <w:rsid w:val="1B1010DA"/>
    <w:rsid w:val="1C914A55"/>
    <w:rsid w:val="2317111C"/>
    <w:rsid w:val="2FF23A4F"/>
    <w:rsid w:val="307A1BC3"/>
    <w:rsid w:val="4E9D37E6"/>
    <w:rsid w:val="5E485FF4"/>
    <w:rsid w:val="7D4F168A"/>
    <w:rsid w:val="7FAC5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5">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6">
    <w:name w:val="正文 A"/>
    <w:qFormat/>
    <w:uiPriority w:val="99"/>
    <w:pPr>
      <w:spacing w:after="200" w:line="276" w:lineRule="auto"/>
    </w:pPr>
    <w:rPr>
      <w:rFonts w:ascii="Calibri" w:hAnsi="Calibri" w:eastAsia="宋体" w:cs="Calibri"/>
      <w:color w:val="000000"/>
      <w:kern w:val="0"/>
      <w:sz w:val="22"/>
      <w:szCs w:val="22"/>
      <w:u w:color="000000"/>
      <w:lang w:val="en-US" w:eastAsia="zh-CN" w:bidi="ar-SA"/>
    </w:rPr>
  </w:style>
  <w:style w:type="character" w:customStyle="1" w:styleId="7">
    <w:name w:val="标题 1 Char"/>
    <w:basedOn w:val="4"/>
    <w:link w:val="2"/>
    <w:qFormat/>
    <w:uiPriority w:val="9"/>
    <w:rPr>
      <w:rFonts w:ascii="Calibri" w:hAnsi="Calibri" w:eastAsia="宋体" w:cs="Times New Roman"/>
      <w:b/>
      <w:bCs/>
      <w:kern w:val="44"/>
      <w:sz w:val="44"/>
      <w:szCs w:val="44"/>
    </w:rPr>
  </w:style>
  <w:style w:type="character" w:customStyle="1" w:styleId="8">
    <w:name w:val="font31"/>
    <w:basedOn w:val="4"/>
    <w:qFormat/>
    <w:uiPriority w:val="0"/>
    <w:rPr>
      <w:rFonts w:hint="eastAsia" w:ascii="黑体" w:hAnsi="宋体" w:eastAsia="黑体" w:cs="黑体"/>
      <w:color w:val="000000"/>
      <w:sz w:val="22"/>
      <w:szCs w:val="22"/>
      <w:u w:val="none"/>
    </w:rPr>
  </w:style>
  <w:style w:type="character" w:customStyle="1" w:styleId="9">
    <w:name w:val="font01"/>
    <w:basedOn w:val="4"/>
    <w:uiPriority w:val="0"/>
    <w:rPr>
      <w:rFonts w:hint="eastAsia" w:ascii="宋体" w:hAnsi="宋体" w:eastAsia="宋体" w:cs="宋体"/>
      <w:color w:val="000000"/>
      <w:sz w:val="22"/>
      <w:szCs w:val="22"/>
      <w:u w:val="none"/>
    </w:rPr>
  </w:style>
  <w:style w:type="character" w:customStyle="1" w:styleId="10">
    <w:name w:val="font11"/>
    <w:basedOn w:val="4"/>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222</Words>
  <Characters>1267</Characters>
  <Lines>10</Lines>
  <Paragraphs>2</Paragraphs>
  <TotalTime>3</TotalTime>
  <ScaleCrop>false</ScaleCrop>
  <LinksUpToDate>false</LinksUpToDate>
  <CharactersWithSpaces>1487</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2019-07-23T09:27:00Z</dcterms:created>
  <dc:creator>Yuanjun</dc:creator>
  <cp:lastModifiedBy>???</cp:lastModifiedBy>
  <cp:lastPrinted>2020-05-29T06:42:36Z</cp:lastPrinted>
  <dcterms:modified xsi:type="dcterms:W3CDTF">2020-05-29T06:42:40Z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