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840" w:hanging="840" w:hangingChars="300"/>
        <w:jc w:val="left"/>
        <w:rPr>
          <w:rFonts w:ascii="方正小标宋_GBK" w:eastAsia="方正小标宋_GBK"/>
          <w:sz w:val="28"/>
          <w:szCs w:val="28"/>
        </w:rPr>
      </w:pPr>
      <w:r>
        <w:rPr>
          <w:rFonts w:hint="eastAsia" w:ascii="方正小标宋_GBK" w:eastAsia="方正小标宋_GBK"/>
          <w:sz w:val="28"/>
          <w:szCs w:val="28"/>
        </w:rPr>
        <w:t>附件3：项目支出绩效评价报告</w:t>
      </w:r>
    </w:p>
    <w:p>
      <w:pPr>
        <w:spacing w:before="120" w:after="120" w:line="480" w:lineRule="auto"/>
        <w:jc w:val="center"/>
        <w:rPr>
          <w:rFonts w:ascii="Times New Roman" w:hAnsi="Times New Roman" w:eastAsia="黑体"/>
          <w:b/>
          <w:bCs/>
          <w:sz w:val="52"/>
          <w:szCs w:val="52"/>
        </w:rPr>
      </w:pPr>
    </w:p>
    <w:p>
      <w:pPr>
        <w:jc w:val="center"/>
        <w:rPr>
          <w:rFonts w:ascii="黑体" w:hAnsi="黑体" w:eastAsia="黑体"/>
          <w:bCs/>
          <w:sz w:val="52"/>
          <w:szCs w:val="52"/>
        </w:rPr>
      </w:pPr>
      <w:r>
        <w:rPr>
          <w:rFonts w:hint="eastAsia" w:ascii="黑体" w:hAnsi="黑体" w:eastAsia="黑体" w:cs="黑体"/>
          <w:bCs/>
          <w:sz w:val="52"/>
          <w:szCs w:val="52"/>
        </w:rPr>
        <w:t>迪庆州农业农村局农业产业化项目2019年度绩效自评报告（</w:t>
      </w:r>
      <w:r>
        <w:rPr>
          <w:rFonts w:hint="eastAsia" w:ascii="黑体" w:hAnsi="黑体" w:eastAsia="黑体" w:cs="黑体"/>
          <w:bCs/>
          <w:sz w:val="52"/>
          <w:szCs w:val="52"/>
          <w:lang w:val="en-US" w:eastAsia="zh-CN"/>
        </w:rPr>
        <w:t>2019</w:t>
      </w:r>
      <w:r>
        <w:rPr>
          <w:rFonts w:hint="eastAsia" w:ascii="黑体" w:hAnsi="黑体" w:eastAsia="黑体" w:cs="黑体"/>
          <w:bCs/>
          <w:sz w:val="52"/>
          <w:szCs w:val="52"/>
        </w:rPr>
        <w:t>年度）</w:t>
      </w:r>
    </w:p>
    <w:p>
      <w:pPr>
        <w:spacing w:before="120" w:after="120" w:line="480" w:lineRule="auto"/>
        <w:jc w:val="center"/>
        <w:rPr>
          <w:rFonts w:ascii="Times New Roman" w:hAnsi="Times New Roman" w:eastAsia="黑体"/>
          <w:b/>
          <w:bCs/>
          <w:sz w:val="52"/>
          <w:szCs w:val="52"/>
        </w:rPr>
      </w:pPr>
    </w:p>
    <w:p>
      <w:pPr>
        <w:spacing w:before="120" w:after="120" w:line="480" w:lineRule="auto"/>
        <w:jc w:val="center"/>
        <w:rPr>
          <w:rFonts w:ascii="Times New Roman" w:hAnsi="Times New Roman"/>
          <w:b/>
          <w:bCs/>
          <w:sz w:val="44"/>
          <w:szCs w:val="44"/>
        </w:rPr>
      </w:pPr>
    </w:p>
    <w:p>
      <w:pPr>
        <w:spacing w:before="120" w:after="120" w:line="480" w:lineRule="auto"/>
        <w:jc w:val="center"/>
        <w:rPr>
          <w:rFonts w:ascii="Times New Roman" w:hAnsi="Times New Roman"/>
          <w:b/>
          <w:bCs/>
          <w:sz w:val="44"/>
          <w:szCs w:val="44"/>
        </w:rPr>
      </w:pPr>
    </w:p>
    <w:p>
      <w:pPr>
        <w:spacing w:before="120" w:after="120" w:line="480" w:lineRule="auto"/>
        <w:jc w:val="center"/>
        <w:rPr>
          <w:rFonts w:ascii="Times New Roman" w:hAnsi="Times New Roman" w:eastAsia="黑体"/>
          <w:b/>
          <w:bCs/>
          <w:sz w:val="44"/>
          <w:szCs w:val="44"/>
        </w:rPr>
      </w:pPr>
    </w:p>
    <w:p>
      <w:pPr>
        <w:tabs>
          <w:tab w:val="center" w:pos="4153"/>
        </w:tabs>
        <w:adjustRightInd w:val="0"/>
        <w:snapToGrid w:val="0"/>
        <w:spacing w:line="360" w:lineRule="auto"/>
        <w:ind w:left="1260" w:leftChars="600"/>
        <w:rPr>
          <w:rFonts w:hint="eastAsia" w:ascii="Times New Roman" w:hAnsi="Times New Roman" w:eastAsia="黑体" w:cs="黑体"/>
          <w:b/>
          <w:bCs/>
          <w:sz w:val="28"/>
          <w:szCs w:val="28"/>
          <w:lang w:eastAsia="zh-CN"/>
        </w:rPr>
      </w:pPr>
      <w:r>
        <w:rPr>
          <w:rFonts w:ascii="Times New Roman" w:hAnsi="Times New Roman" w:eastAsia="黑体" w:cs="黑体"/>
          <w:b/>
          <w:bCs/>
          <w:sz w:val="28"/>
          <w:szCs w:val="28"/>
        </w:rPr>
        <mc:AlternateContent>
          <mc:Choice Requires="wps">
            <w:drawing>
              <wp:anchor distT="0" distB="0" distL="114300" distR="114300" simplePos="0" relativeHeight="251659264" behindDoc="0" locked="0" layoutInCell="1" allowOverlap="1">
                <wp:simplePos x="0" y="0"/>
                <wp:positionH relativeFrom="column">
                  <wp:posOffset>2371725</wp:posOffset>
                </wp:positionH>
                <wp:positionV relativeFrom="paragraph">
                  <wp:posOffset>196215</wp:posOffset>
                </wp:positionV>
                <wp:extent cx="2495550" cy="0"/>
                <wp:effectExtent l="0" t="0" r="0" b="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86.75pt;margin-top:15.45pt;height:0pt;width:196.5pt;z-index:251659264;mso-width-relative:page;mso-height-relative:page;" filled="f" stroked="t" coordsize="21600,21600" o:gfxdata="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XqXKDXAAAACQEAAA8AAAAAAAAA&#10;AQAgAAAAIgAAAGRycy9kb3ducmV2LnhtbFBLAQIUABQAAAAIAIdO4kD2cZDw2QEAAHADAAAOAAAA&#10;AAAAAAEAIAAAACYBAABkcnMvZTJvRG9jLnhtbFBLBQYAAAAABgAGAFkBAABxBQ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部门名称（公章）：</w:t>
      </w:r>
      <w:r>
        <w:rPr>
          <w:rFonts w:hint="eastAsia" w:ascii="Times New Roman" w:hAnsi="Times New Roman" w:eastAsia="黑体" w:cs="黑体"/>
          <w:b/>
          <w:bCs/>
          <w:sz w:val="28"/>
          <w:szCs w:val="28"/>
          <w:lang w:eastAsia="zh-CN"/>
        </w:rPr>
        <w:t>迪庆州农业农村局</w:t>
      </w:r>
    </w:p>
    <w:p>
      <w:pPr>
        <w:adjustRightInd w:val="0"/>
        <w:snapToGrid w:val="0"/>
        <w:spacing w:line="360" w:lineRule="auto"/>
        <w:ind w:left="1260" w:leftChars="600"/>
        <w:rPr>
          <w:rFonts w:hint="default" w:ascii="Times New Roman" w:hAnsi="Times New Roman" w:eastAsia="黑体" w:cs="黑体"/>
          <w:b/>
          <w:bCs/>
          <w:sz w:val="28"/>
          <w:szCs w:val="28"/>
          <w:lang w:val="en-US" w:eastAsia="zh-CN"/>
        </w:rPr>
      </w:pPr>
      <w:r>
        <w:rPr>
          <w:rFonts w:ascii="Times New Roman" w:hAnsi="Times New Roman" w:eastAsia="黑体" w:cs="黑体"/>
          <w:b/>
          <w:bCs/>
          <w:sz w:val="28"/>
          <w:szCs w:val="28"/>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221615</wp:posOffset>
                </wp:positionV>
                <wp:extent cx="2495550" cy="0"/>
                <wp:effectExtent l="0" t="0" r="0" b="0"/>
                <wp:wrapNone/>
                <wp:docPr id="4" name="直接箭头连接符 4"/>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5pt;margin-top:17.45pt;height:0pt;width:196.5pt;z-index:251660288;mso-width-relative:page;mso-height-relative:page;" filled="f" stroked="t" coordsize="21600,21600" o:gfxdata="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xhF2DXAAAACQEAAA8AAAAAAAAA&#10;AQAgAAAAIgAAAGRycy9kb3ducmV2LnhtbFBLAQIUABQAAAAIAIdO4kDYTeOo2QEAAHADAAAOAAAA&#10;AAAAAAEAIAAAACYBAABkcnMvZTJvRG9jLnhtbFBLBQYAAAAABgAGAFkBAABxBQ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项目单位：</w:t>
      </w:r>
      <w:r>
        <w:rPr>
          <w:rFonts w:ascii="Times New Roman" w:hAnsi="Times New Roman" w:eastAsia="黑体" w:cs="黑体"/>
          <w:b/>
          <w:bCs/>
          <w:sz w:val="28"/>
          <w:szCs w:val="28"/>
        </w:rPr>
        <w:t xml:space="preserve"> </w:t>
      </w:r>
      <w:r>
        <w:rPr>
          <w:rFonts w:hint="eastAsia" w:ascii="Times New Roman" w:hAnsi="Times New Roman" w:eastAsia="黑体" w:cs="黑体"/>
          <w:b/>
          <w:bCs/>
          <w:sz w:val="28"/>
          <w:szCs w:val="28"/>
          <w:lang w:eastAsia="zh-CN"/>
        </w:rPr>
        <w:t>迪庆州农业农村局</w:t>
      </w:r>
      <w:r>
        <w:rPr>
          <w:rFonts w:hint="eastAsia" w:ascii="Times New Roman" w:hAnsi="Times New Roman" w:eastAsia="黑体" w:cs="黑体"/>
          <w:b/>
          <w:bCs/>
          <w:sz w:val="28"/>
          <w:szCs w:val="28"/>
          <w:lang w:val="en-US" w:eastAsia="zh-CN"/>
        </w:rPr>
        <w:t xml:space="preserve">   </w:t>
      </w:r>
    </w:p>
    <w:p>
      <w:pPr>
        <w:adjustRightInd w:val="0"/>
        <w:snapToGrid w:val="0"/>
        <w:spacing w:line="360" w:lineRule="auto"/>
        <w:ind w:left="1260" w:leftChars="600"/>
        <w:rPr>
          <w:rFonts w:hint="eastAsia" w:ascii="Times New Roman" w:hAnsi="Times New Roman" w:eastAsia="黑体"/>
          <w:b/>
          <w:bCs/>
          <w:sz w:val="28"/>
          <w:szCs w:val="28"/>
          <w:lang w:eastAsia="zh-CN"/>
        </w:rPr>
      </w:pPr>
      <w:r>
        <w:rPr>
          <w:rFonts w:ascii="Times New Roman" w:hAnsi="Times New Roman" w:eastAsia="黑体" w:cs="黑体"/>
          <w:b/>
          <w:bCs/>
          <w:sz w:val="28"/>
          <w:szCs w:val="28"/>
        </w:rPr>
        <mc:AlternateContent>
          <mc:Choice Requires="wps">
            <w:drawing>
              <wp:anchor distT="0" distB="0" distL="114300" distR="114300" simplePos="0" relativeHeight="251661312" behindDoc="0" locked="0" layoutInCell="1" allowOverlap="1">
                <wp:simplePos x="0" y="0"/>
                <wp:positionH relativeFrom="column">
                  <wp:posOffset>1714500</wp:posOffset>
                </wp:positionH>
                <wp:positionV relativeFrom="paragraph">
                  <wp:posOffset>180975</wp:posOffset>
                </wp:positionV>
                <wp:extent cx="2495550" cy="0"/>
                <wp:effectExtent l="0" t="0" r="0" b="0"/>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5pt;margin-top:14.25pt;height:0pt;width:196.5pt;z-index:251661312;mso-width-relative:page;mso-height-relative:page;" filled="f" stroked="t" coordsize="21600,21600" o:gfxdata="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0IL+71wAAAAkBAAAPAAAAAAAA&#10;AAEAIAAAACIAAABkcnMvZG93bnJldi54bWxQSwECFAAUAAAACACHTuJAU//L+toBAABwAwAADgAA&#10;AAAAAAABACAAAAAmAQAAZHJzL2Uyb0RvYy54bWxQSwUGAAAAAAYABgBZAQAAcgU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主管部门：</w:t>
      </w:r>
      <w:r>
        <w:rPr>
          <w:rFonts w:ascii="Times New Roman" w:hAnsi="Times New Roman" w:eastAsia="黑体"/>
          <w:b/>
          <w:bCs/>
          <w:sz w:val="28"/>
          <w:szCs w:val="28"/>
        </w:rPr>
        <w:t xml:space="preserve"> </w:t>
      </w:r>
      <w:r>
        <w:rPr>
          <w:rFonts w:hint="eastAsia" w:ascii="Times New Roman" w:hAnsi="Times New Roman" w:eastAsia="黑体" w:cs="黑体"/>
          <w:b/>
          <w:bCs/>
          <w:sz w:val="28"/>
          <w:szCs w:val="28"/>
          <w:lang w:eastAsia="zh-CN"/>
        </w:rPr>
        <w:t>迪庆州农业农村局</w:t>
      </w:r>
    </w:p>
    <w:p>
      <w:pPr>
        <w:adjustRightInd w:val="0"/>
        <w:snapToGrid w:val="0"/>
        <w:spacing w:line="360" w:lineRule="auto"/>
        <w:ind w:left="1260" w:leftChars="600"/>
        <w:rPr>
          <w:rFonts w:hint="eastAsia" w:ascii="Times New Roman" w:hAnsi="Times New Roman" w:eastAsia="黑体" w:cs="黑体"/>
          <w:b/>
          <w:bCs/>
          <w:sz w:val="28"/>
          <w:szCs w:val="28"/>
          <w:lang w:val="en-US" w:eastAsia="zh-CN"/>
        </w:rPr>
      </w:pPr>
      <w:r>
        <w:rPr>
          <w:rFonts w:ascii="Times New Roman" w:hAnsi="Times New Roman" w:eastAsia="黑体" w:cs="黑体"/>
          <w:b/>
          <w:bCs/>
          <w:sz w:val="28"/>
          <w:szCs w:val="28"/>
        </w:rPr>
        <mc:AlternateContent>
          <mc:Choice Requires="wps">
            <w:drawing>
              <wp:anchor distT="0" distB="0" distL="114300" distR="114300" simplePos="0" relativeHeight="251662336" behindDoc="0" locked="0" layoutInCell="1" allowOverlap="1">
                <wp:simplePos x="0" y="0"/>
                <wp:positionH relativeFrom="column">
                  <wp:posOffset>1714500</wp:posOffset>
                </wp:positionH>
                <wp:positionV relativeFrom="paragraph">
                  <wp:posOffset>180975</wp:posOffset>
                </wp:positionV>
                <wp:extent cx="2495550" cy="0"/>
                <wp:effectExtent l="0" t="0" r="0" b="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5pt;margin-top:14.25pt;height:0pt;width:196.5pt;z-index:251662336;mso-width-relative:page;mso-height-relative:page;" filled="f" stroked="t" coordsize="21600,21600" o:gfxdata="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Qgv7vXAAAACQEAAA8AAAAAAAAA&#10;AQAgAAAAIgAAAGRycy9kb3ducmV2LnhtbFBLAQIUABQAAAAIAIdO4kB9w7ii2QEAAHADAAAOAAAA&#10;AAAAAAEAIAAAACYBAABkcnMvZTJvRG9jLnhtbFBLBQYAAAAABgAGAFkBAABxBQ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项目名称：</w:t>
      </w:r>
      <w:r>
        <w:rPr>
          <w:rFonts w:ascii="Times New Roman" w:hAnsi="Times New Roman" w:eastAsia="黑体"/>
          <w:b/>
          <w:bCs/>
          <w:sz w:val="28"/>
          <w:szCs w:val="28"/>
        </w:rPr>
        <w:t xml:space="preserve"> </w:t>
      </w:r>
      <w:r>
        <w:rPr>
          <w:rFonts w:ascii="Times New Roman" w:hAnsi="Times New Roman" w:eastAsia="黑体" w:cs="黑体"/>
          <w:b/>
          <w:bCs/>
          <w:sz w:val="28"/>
          <w:szCs w:val="28"/>
        </w:rPr>
        <mc:AlternateContent>
          <mc:Choice Requires="wps">
            <w:drawing>
              <wp:anchor distT="0" distB="0" distL="114300" distR="114300" simplePos="0" relativeHeight="251663360" behindDoc="0" locked="0" layoutInCell="1" allowOverlap="1">
                <wp:simplePos x="0" y="0"/>
                <wp:positionH relativeFrom="column">
                  <wp:posOffset>1714500</wp:posOffset>
                </wp:positionH>
                <wp:positionV relativeFrom="paragraph">
                  <wp:posOffset>180975</wp:posOffset>
                </wp:positionV>
                <wp:extent cx="2495550" cy="0"/>
                <wp:effectExtent l="0" t="0" r="0" b="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5pt;margin-top:14.25pt;height:0pt;width:196.5pt;z-index:251663360;mso-width-relative:page;mso-height-relative:page;" filled="f" stroked="t" coordsize="21600,21600" o:gfxdata="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CC/u9cAAAAJAQAADwAAAAAAAAAB&#10;ACAAAAAiAAAAZHJzL2Rvd25yZXYueG1sUEsBAhQAFAAAAAgAh07iQA+HLUrYAQAAcAMAAA4AAAAA&#10;AAAAAQAgAAAAJgEAAGRycy9lMm9Eb2MueG1sUEsFBgAAAAAGAAYAWQEAAHAFA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lang w:val="en-US" w:eastAsia="zh-CN"/>
        </w:rPr>
        <w:t>2019年农业产业化项目</w:t>
      </w:r>
    </w:p>
    <w:p>
      <w:pPr>
        <w:adjustRightInd w:val="0"/>
        <w:snapToGrid w:val="0"/>
        <w:spacing w:line="360" w:lineRule="auto"/>
        <w:ind w:left="1260" w:leftChars="600"/>
        <w:rPr>
          <w:rFonts w:hint="default" w:ascii="Times New Roman" w:hAnsi="Times New Roman" w:eastAsia="黑体"/>
          <w:b/>
          <w:bCs/>
          <w:sz w:val="28"/>
          <w:szCs w:val="28"/>
          <w:u w:val="single"/>
          <w:lang w:val="en-US" w:eastAsia="zh-CN"/>
        </w:rPr>
      </w:pPr>
      <w:r>
        <w:rPr>
          <w:rFonts w:hint="eastAsia" w:ascii="Times New Roman" w:hAnsi="Times New Roman" w:eastAsia="黑体" w:cs="黑体"/>
          <w:b/>
          <w:bCs/>
          <w:sz w:val="28"/>
          <w:szCs w:val="28"/>
        </w:rPr>
        <w:t>绩效自评日期：</w:t>
      </w:r>
      <w:r>
        <w:rPr>
          <w:rFonts w:ascii="Times New Roman" w:hAnsi="Times New Roman" w:eastAsia="黑体"/>
          <w:b/>
          <w:bCs/>
          <w:sz w:val="28"/>
          <w:szCs w:val="28"/>
          <w:u w:val="single"/>
        </w:rPr>
        <w:t xml:space="preserve"> </w:t>
      </w:r>
      <w:r>
        <w:rPr>
          <w:rFonts w:hint="eastAsia" w:ascii="Times New Roman" w:hAnsi="Times New Roman" w:eastAsia="黑体"/>
          <w:b/>
          <w:bCs/>
          <w:sz w:val="28"/>
          <w:szCs w:val="28"/>
          <w:u w:val="single"/>
          <w:lang w:val="en-US" w:eastAsia="zh-CN"/>
        </w:rPr>
        <w:t xml:space="preserve">2020年5月26日        </w:t>
      </w:r>
    </w:p>
    <w:p>
      <w:pPr>
        <w:spacing w:line="360" w:lineRule="auto"/>
        <w:ind w:left="1218" w:leftChars="580"/>
        <w:rPr>
          <w:rFonts w:ascii="Times New Roman" w:hAnsi="Times New Roman" w:eastAsia="黑体"/>
          <w:b/>
          <w:bCs/>
          <w:sz w:val="28"/>
          <w:szCs w:val="28"/>
        </w:rPr>
      </w:pPr>
    </w:p>
    <w:p>
      <w:pPr>
        <w:jc w:val="center"/>
        <w:rPr>
          <w:rFonts w:ascii="Times New Roman" w:hAnsi="Times New Roman" w:eastAsia="黑体" w:cs="黑体"/>
          <w:b/>
          <w:bCs/>
          <w:sz w:val="28"/>
          <w:szCs w:val="28"/>
        </w:rPr>
      </w:pPr>
      <w:r>
        <w:rPr>
          <w:rFonts w:hint="eastAsia" w:ascii="Times New Roman" w:hAnsi="Times New Roman" w:eastAsia="黑体"/>
          <w:b/>
          <w:bCs/>
          <w:sz w:val="28"/>
          <w:szCs w:val="28"/>
          <w:lang w:val="en-US" w:eastAsia="zh-CN"/>
        </w:rPr>
        <w:t>2020</w:t>
      </w:r>
      <w:r>
        <w:rPr>
          <w:rFonts w:hint="eastAsia" w:ascii="Times New Roman" w:hAnsi="Times New Roman" w:eastAsia="黑体" w:cs="黑体"/>
          <w:b/>
          <w:bCs/>
          <w:sz w:val="28"/>
          <w:szCs w:val="28"/>
        </w:rPr>
        <w:t>年</w:t>
      </w:r>
      <w:r>
        <w:rPr>
          <w:rFonts w:hint="eastAsia" w:ascii="Times New Roman" w:hAnsi="Times New Roman" w:eastAsia="黑体"/>
          <w:b/>
          <w:bCs/>
          <w:sz w:val="28"/>
          <w:szCs w:val="28"/>
          <w:lang w:val="en-US" w:eastAsia="zh-CN"/>
        </w:rPr>
        <w:t>05</w:t>
      </w:r>
      <w:r>
        <w:rPr>
          <w:rFonts w:hint="eastAsia" w:ascii="Times New Roman" w:hAnsi="Times New Roman" w:eastAsia="黑体" w:cs="黑体"/>
          <w:b/>
          <w:bCs/>
          <w:sz w:val="28"/>
          <w:szCs w:val="28"/>
        </w:rPr>
        <w:t>月</w:t>
      </w: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widowControl/>
        <w:jc w:val="left"/>
        <w:rPr>
          <w:rFonts w:ascii="Times New Roman" w:hAnsi="Times New Roman" w:eastAsia="仿宋_GB2312"/>
          <w:b/>
          <w:bCs/>
          <w:sz w:val="28"/>
          <w:szCs w:val="28"/>
        </w:rPr>
        <w:sectPr>
          <w:pgSz w:w="11906" w:h="16838"/>
          <w:pgMar w:top="1440" w:right="1800" w:bottom="1440" w:left="1800" w:header="851" w:footer="992" w:gutter="0"/>
          <w:cols w:space="425" w:num="1"/>
          <w:titlePg/>
          <w:docGrid w:type="lines" w:linePitch="312" w:charSpace="0"/>
        </w:sectPr>
      </w:pPr>
    </w:p>
    <w:p>
      <w:pPr>
        <w:pStyle w:val="6"/>
        <w:widowControl w:val="0"/>
        <w:spacing w:after="0" w:line="360" w:lineRule="auto"/>
        <w:jc w:val="both"/>
        <w:rPr>
          <w:rFonts w:ascii="Times New Roman" w:hAnsi="Times New Roman" w:eastAsia="黑体" w:cs="Times New Roman"/>
          <w:kern w:val="2"/>
          <w:sz w:val="24"/>
          <w:szCs w:val="24"/>
          <w:lang w:val="zh-TW" w:eastAsia="zh-TW"/>
        </w:rPr>
      </w:pPr>
      <w:r>
        <w:rPr>
          <w:rFonts w:hint="eastAsia" w:ascii="Times New Roman" w:hAnsi="Times New Roman" w:eastAsia="黑体" w:cs="黑体"/>
          <w:kern w:val="2"/>
          <w:sz w:val="24"/>
          <w:szCs w:val="24"/>
          <w:lang w:val="zh-TW" w:eastAsia="zh-TW"/>
        </w:rPr>
        <w:t>评价小组成员：</w:t>
      </w:r>
    </w:p>
    <w:tbl>
      <w:tblPr>
        <w:tblStyle w:val="3"/>
        <w:tblpPr w:leftFromText="180" w:rightFromText="180" w:vertAnchor="text" w:horzAnchor="margin" w:tblpY="72"/>
        <w:tblW w:w="8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314"/>
        <w:gridCol w:w="1575"/>
        <w:gridCol w:w="2280"/>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评价小组</w:t>
            </w:r>
          </w:p>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机构职位</w:t>
            </w:r>
          </w:p>
        </w:tc>
        <w:tc>
          <w:tcPr>
            <w:tcW w:w="1314"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姓名</w:t>
            </w:r>
          </w:p>
        </w:tc>
        <w:tc>
          <w:tcPr>
            <w:tcW w:w="1575"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职务/职称</w:t>
            </w:r>
          </w:p>
        </w:tc>
        <w:tc>
          <w:tcPr>
            <w:tcW w:w="2280"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所属</w:t>
            </w:r>
          </w:p>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单位/处室</w:t>
            </w:r>
          </w:p>
        </w:tc>
        <w:tc>
          <w:tcPr>
            <w:tcW w:w="1313"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620"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组长</w:t>
            </w:r>
          </w:p>
        </w:tc>
        <w:tc>
          <w:tcPr>
            <w:tcW w:w="1314"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杨树奇</w:t>
            </w:r>
          </w:p>
        </w:tc>
        <w:tc>
          <w:tcPr>
            <w:tcW w:w="1575"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局长</w:t>
            </w:r>
          </w:p>
        </w:tc>
        <w:tc>
          <w:tcPr>
            <w:tcW w:w="2280"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迪庆州农业农村局</w:t>
            </w:r>
          </w:p>
        </w:tc>
        <w:tc>
          <w:tcPr>
            <w:tcW w:w="1313" w:type="dxa"/>
            <w:vAlign w:val="center"/>
          </w:tcPr>
          <w:p>
            <w:pPr>
              <w:pStyle w:val="6"/>
              <w:widowControl w:val="0"/>
              <w:spacing w:after="0" w:line="24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vAlign w:val="center"/>
          </w:tcPr>
          <w:p>
            <w:pPr>
              <w:pStyle w:val="6"/>
              <w:widowControl w:val="0"/>
              <w:spacing w:after="0" w:line="36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副组长</w:t>
            </w:r>
          </w:p>
        </w:tc>
        <w:tc>
          <w:tcPr>
            <w:tcW w:w="1314" w:type="dxa"/>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扎都</w:t>
            </w:r>
          </w:p>
        </w:tc>
        <w:tc>
          <w:tcPr>
            <w:tcW w:w="1575" w:type="dxa"/>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副局长</w:t>
            </w:r>
          </w:p>
        </w:tc>
        <w:tc>
          <w:tcPr>
            <w:tcW w:w="2280" w:type="dxa"/>
          </w:tcPr>
          <w:p>
            <w:pPr>
              <w:widowControl w:val="0"/>
              <w:spacing w:after="0" w:line="360" w:lineRule="auto"/>
              <w:jc w:val="center"/>
              <w:rPr>
                <w:rFonts w:ascii="Times New Roman" w:hAnsi="Times New Roman" w:eastAsia="黑体" w:cs="黑体"/>
                <w:kern w:val="2"/>
                <w:sz w:val="24"/>
                <w:szCs w:val="24"/>
                <w:lang w:val="zh-TW" w:eastAsia="zh-TW"/>
              </w:rPr>
            </w:pPr>
            <w:r>
              <w:rPr>
                <w:rFonts w:hint="eastAsia" w:ascii="Times New Roman" w:hAnsi="Times New Roman" w:eastAsia="黑体" w:cs="黑体"/>
                <w:kern w:val="2"/>
                <w:sz w:val="24"/>
                <w:szCs w:val="24"/>
                <w:lang w:val="zh-TW" w:eastAsia="zh-CN"/>
              </w:rPr>
              <w:t>迪庆州农业农村局</w:t>
            </w:r>
          </w:p>
        </w:tc>
        <w:tc>
          <w:tcPr>
            <w:tcW w:w="1313" w:type="dxa"/>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vAlign w:val="center"/>
          </w:tcPr>
          <w:p>
            <w:pPr>
              <w:pStyle w:val="6"/>
              <w:widowControl w:val="0"/>
              <w:spacing w:after="0" w:line="36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成员</w:t>
            </w:r>
          </w:p>
        </w:tc>
        <w:tc>
          <w:tcPr>
            <w:tcW w:w="1314" w:type="dxa"/>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赵金繁</w:t>
            </w:r>
          </w:p>
        </w:tc>
        <w:tc>
          <w:tcPr>
            <w:tcW w:w="1575" w:type="dxa"/>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副局长</w:t>
            </w:r>
          </w:p>
        </w:tc>
        <w:tc>
          <w:tcPr>
            <w:tcW w:w="2280" w:type="dxa"/>
          </w:tcPr>
          <w:p>
            <w:pPr>
              <w:widowControl w:val="0"/>
              <w:spacing w:after="0" w:line="360" w:lineRule="auto"/>
              <w:jc w:val="center"/>
              <w:rPr>
                <w:rFonts w:ascii="Times New Roman" w:hAnsi="Times New Roman" w:eastAsia="黑体" w:cs="黑体"/>
                <w:kern w:val="2"/>
                <w:sz w:val="24"/>
                <w:szCs w:val="24"/>
                <w:lang w:val="zh-TW" w:eastAsia="zh-TW"/>
              </w:rPr>
            </w:pPr>
            <w:r>
              <w:rPr>
                <w:rFonts w:hint="eastAsia" w:ascii="Times New Roman" w:hAnsi="Times New Roman" w:eastAsia="黑体" w:cs="黑体"/>
                <w:kern w:val="2"/>
                <w:sz w:val="24"/>
                <w:szCs w:val="24"/>
                <w:lang w:val="zh-TW" w:eastAsia="zh-CN"/>
              </w:rPr>
              <w:t>迪庆州农业农村局</w:t>
            </w:r>
          </w:p>
        </w:tc>
        <w:tc>
          <w:tcPr>
            <w:tcW w:w="1313" w:type="dxa"/>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成员</w:t>
            </w:r>
          </w:p>
        </w:tc>
        <w:tc>
          <w:tcPr>
            <w:tcW w:w="1314" w:type="dxa"/>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李锦华</w:t>
            </w:r>
          </w:p>
        </w:tc>
        <w:tc>
          <w:tcPr>
            <w:tcW w:w="1575" w:type="dxa"/>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计财科科长</w:t>
            </w:r>
          </w:p>
        </w:tc>
        <w:tc>
          <w:tcPr>
            <w:tcW w:w="2280" w:type="dxa"/>
          </w:tcPr>
          <w:p>
            <w:pPr>
              <w:widowControl w:val="0"/>
              <w:spacing w:after="0" w:line="360" w:lineRule="auto"/>
              <w:jc w:val="center"/>
              <w:rPr>
                <w:rFonts w:ascii="Times New Roman" w:hAnsi="Times New Roman" w:eastAsia="黑体" w:cs="黑体"/>
                <w:kern w:val="2"/>
                <w:sz w:val="24"/>
                <w:szCs w:val="24"/>
                <w:lang w:val="zh-TW" w:eastAsia="zh-TW"/>
              </w:rPr>
            </w:pPr>
            <w:r>
              <w:rPr>
                <w:rFonts w:hint="eastAsia" w:ascii="Times New Roman" w:hAnsi="Times New Roman" w:eastAsia="黑体" w:cs="黑体"/>
                <w:kern w:val="2"/>
                <w:sz w:val="24"/>
                <w:szCs w:val="24"/>
                <w:lang w:val="zh-TW" w:eastAsia="zh-CN"/>
              </w:rPr>
              <w:t>迪庆州农业农村局</w:t>
            </w:r>
          </w:p>
        </w:tc>
        <w:tc>
          <w:tcPr>
            <w:tcW w:w="1313" w:type="dxa"/>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成员</w:t>
            </w:r>
          </w:p>
        </w:tc>
        <w:tc>
          <w:tcPr>
            <w:tcW w:w="1314" w:type="dxa"/>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余慧华</w:t>
            </w:r>
          </w:p>
        </w:tc>
        <w:tc>
          <w:tcPr>
            <w:tcW w:w="1575" w:type="dxa"/>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市场科科长</w:t>
            </w:r>
          </w:p>
        </w:tc>
        <w:tc>
          <w:tcPr>
            <w:tcW w:w="2280" w:type="dxa"/>
          </w:tcPr>
          <w:p>
            <w:pPr>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迪庆州农业农村局</w:t>
            </w:r>
          </w:p>
        </w:tc>
        <w:tc>
          <w:tcPr>
            <w:tcW w:w="1313" w:type="dxa"/>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8102" w:type="dxa"/>
            <w:gridSpan w:val="5"/>
          </w:tcPr>
          <w:p>
            <w:pPr>
              <w:pStyle w:val="6"/>
              <w:widowControl w:val="0"/>
              <w:spacing w:after="0" w:line="360" w:lineRule="auto"/>
              <w:jc w:val="both"/>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报告撰写人（签字）：</w:t>
            </w:r>
          </w:p>
          <w:p>
            <w:pPr>
              <w:pStyle w:val="6"/>
              <w:widowControl w:val="0"/>
              <w:spacing w:after="0" w:line="360" w:lineRule="auto"/>
              <w:jc w:val="both"/>
              <w:rPr>
                <w:rFonts w:ascii="Times New Roman" w:hAnsi="Times New Roman" w:eastAsia="黑体" w:cs="黑体"/>
                <w:kern w:val="2"/>
                <w:sz w:val="24"/>
                <w:szCs w:val="24"/>
                <w:lang w:val="zh-TW"/>
              </w:rPr>
            </w:pPr>
          </w:p>
          <w:p>
            <w:pPr>
              <w:pStyle w:val="6"/>
              <w:widowControl w:val="0"/>
              <w:spacing w:after="0" w:line="360" w:lineRule="auto"/>
              <w:jc w:val="both"/>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余慧华</w:t>
            </w:r>
          </w:p>
          <w:p>
            <w:pPr>
              <w:pStyle w:val="6"/>
              <w:widowControl w:val="0"/>
              <w:wordWrap w:val="0"/>
              <w:spacing w:after="0" w:line="360" w:lineRule="auto"/>
              <w:jc w:val="right"/>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1" w:hRule="atLeast"/>
        </w:trPr>
        <w:tc>
          <w:tcPr>
            <w:tcW w:w="8102" w:type="dxa"/>
            <w:gridSpan w:val="5"/>
          </w:tcPr>
          <w:p>
            <w:pPr>
              <w:pStyle w:val="6"/>
              <w:widowControl w:val="0"/>
              <w:spacing w:after="0" w:line="360" w:lineRule="auto"/>
              <w:jc w:val="both"/>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评价工作负责人（签字）：</w:t>
            </w:r>
          </w:p>
          <w:p>
            <w:pPr>
              <w:pStyle w:val="6"/>
              <w:widowControl w:val="0"/>
              <w:spacing w:after="0" w:line="360" w:lineRule="auto"/>
              <w:jc w:val="both"/>
              <w:rPr>
                <w:rFonts w:ascii="Times New Roman" w:hAnsi="Times New Roman" w:eastAsia="黑体" w:cs="黑体"/>
                <w:kern w:val="2"/>
                <w:sz w:val="24"/>
                <w:szCs w:val="24"/>
                <w:lang w:val="zh-TW"/>
              </w:rPr>
            </w:pPr>
          </w:p>
          <w:p>
            <w:pPr>
              <w:pStyle w:val="6"/>
              <w:widowControl w:val="0"/>
              <w:spacing w:after="0" w:line="360" w:lineRule="auto"/>
              <w:jc w:val="both"/>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李锦华</w:t>
            </w:r>
          </w:p>
          <w:p>
            <w:pPr>
              <w:pStyle w:val="6"/>
              <w:widowControl w:val="0"/>
              <w:wordWrap w:val="0"/>
              <w:spacing w:after="0" w:line="360" w:lineRule="auto"/>
              <w:jc w:val="right"/>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年  月  日</w:t>
            </w:r>
          </w:p>
        </w:tc>
      </w:tr>
    </w:tbl>
    <w:p>
      <w:pPr>
        <w:pStyle w:val="6"/>
        <w:widowControl w:val="0"/>
        <w:spacing w:after="0" w:line="360" w:lineRule="auto"/>
        <w:ind w:firstLine="566" w:firstLineChars="236"/>
        <w:jc w:val="both"/>
        <w:rPr>
          <w:rFonts w:ascii="Times New Roman" w:hAnsi="Times New Roman" w:eastAsia="PMingLiU" w:cs="Times New Roman"/>
          <w:kern w:val="2"/>
          <w:sz w:val="24"/>
          <w:szCs w:val="24"/>
          <w:lang w:val="zh-TW" w:eastAsia="zh-TW"/>
        </w:rPr>
      </w:pPr>
    </w:p>
    <w:p>
      <w:pPr>
        <w:pStyle w:val="6"/>
        <w:widowControl w:val="0"/>
        <w:spacing w:after="0" w:line="360" w:lineRule="auto"/>
        <w:jc w:val="both"/>
        <w:rPr>
          <w:rFonts w:ascii="Times New Roman" w:hAnsi="Times New Roman" w:cs="Times New Roman"/>
          <w:kern w:val="2"/>
          <w:sz w:val="24"/>
          <w:szCs w:val="24"/>
          <w:lang w:val="zh-TW"/>
        </w:rPr>
        <w:sectPr>
          <w:pgSz w:w="11906" w:h="16838"/>
          <w:pgMar w:top="1440" w:right="1800" w:bottom="1440" w:left="1800" w:header="851" w:footer="992" w:gutter="0"/>
          <w:cols w:space="425" w:num="1"/>
          <w:docGrid w:type="lines" w:linePitch="312" w:charSpace="0"/>
        </w:sectPr>
      </w:pPr>
    </w:p>
    <w:p>
      <w:pPr>
        <w:pStyle w:val="5"/>
        <w:jc w:val="center"/>
        <w:rPr>
          <w:rFonts w:ascii="Times New Roman" w:hAnsi="Times New Roman" w:cs="Times New Roman"/>
          <w:color w:val="auto"/>
        </w:rPr>
      </w:pPr>
      <w:r>
        <w:rPr>
          <w:rFonts w:hint="eastAsia" w:ascii="Times New Roman" w:hAnsi="Times New Roman" w:cs="宋体"/>
          <w:color w:val="auto"/>
          <w:lang w:val="zh-CN"/>
        </w:rPr>
        <w:t>目录</w:t>
      </w:r>
    </w:p>
    <w:p>
      <w:pPr>
        <w:spacing w:line="440" w:lineRule="exact"/>
        <w:ind w:firstLine="420" w:firstLineChars="200"/>
        <w:jc w:val="left"/>
        <w:rPr>
          <w:rFonts w:ascii="黑体" w:hAnsi="黑体" w:eastAsia="黑体"/>
          <w:szCs w:val="32"/>
        </w:rPr>
      </w:pPr>
      <w:r>
        <w:rPr>
          <w:rFonts w:hint="eastAsia" w:ascii="黑体" w:hAnsi="黑体" w:eastAsia="黑体"/>
          <w:szCs w:val="32"/>
        </w:rPr>
        <w:t>摘要</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一、 项目基本情况</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（一）项目立项背景</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（二）项目立项依据 </w:t>
      </w:r>
    </w:p>
    <w:p>
      <w:pPr>
        <w:spacing w:line="440" w:lineRule="exact"/>
        <w:ind w:firstLine="420" w:firstLineChars="200"/>
        <w:jc w:val="left"/>
        <w:rPr>
          <w:rFonts w:ascii="黑体" w:hAnsi="黑体" w:eastAsia="黑体"/>
          <w:szCs w:val="32"/>
        </w:rPr>
      </w:pPr>
      <w:r>
        <w:rPr>
          <w:rFonts w:hint="eastAsia" w:ascii="黑体" w:hAnsi="黑体" w:eastAsia="黑体"/>
          <w:szCs w:val="32"/>
        </w:rPr>
        <w:t>（三）项目实施内容</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（四）项目实施计划及完成情况</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（五）项目的组织及管理</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（六）项目绩效目标 </w:t>
      </w:r>
    </w:p>
    <w:p>
      <w:pPr>
        <w:spacing w:line="440" w:lineRule="exact"/>
        <w:ind w:firstLine="420" w:firstLineChars="200"/>
        <w:jc w:val="left"/>
        <w:rPr>
          <w:rFonts w:ascii="黑体" w:hAnsi="黑体" w:eastAsia="黑体"/>
          <w:szCs w:val="32"/>
        </w:rPr>
      </w:pPr>
      <w:r>
        <w:rPr>
          <w:rFonts w:hint="eastAsia" w:ascii="黑体" w:hAnsi="黑体" w:eastAsia="黑体"/>
          <w:szCs w:val="32"/>
        </w:rPr>
        <w:t>二、绩效评价工作情况</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(一)评价的目的和依据</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(二)绩效评价工作方案制定过程</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(三)绩效评价原则、评价方法等</w:t>
      </w:r>
      <w:r>
        <w:rPr>
          <w:rFonts w:hint="eastAsia" w:ascii="黑体" w:hAnsi="黑体" w:eastAsia="黑体"/>
          <w:szCs w:val="32"/>
        </w:rPr>
        <w:tab/>
      </w:r>
    </w:p>
    <w:p>
      <w:pPr>
        <w:spacing w:line="440" w:lineRule="exact"/>
        <w:ind w:firstLine="420" w:firstLineChars="200"/>
        <w:jc w:val="left"/>
        <w:rPr>
          <w:rFonts w:ascii="黑体" w:hAnsi="黑体" w:eastAsia="黑体"/>
          <w:szCs w:val="32"/>
        </w:rPr>
      </w:pPr>
      <w:r>
        <w:rPr>
          <w:rFonts w:hint="eastAsia" w:ascii="黑体" w:hAnsi="黑体" w:eastAsia="黑体"/>
          <w:szCs w:val="32"/>
        </w:rPr>
        <w:t>(四)绩效评价实施过程</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(五)绩效评价的局限性</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三、评价结论及绩效分析 </w:t>
      </w:r>
    </w:p>
    <w:p>
      <w:pPr>
        <w:spacing w:line="440" w:lineRule="exact"/>
        <w:ind w:firstLine="420" w:firstLineChars="200"/>
        <w:jc w:val="left"/>
        <w:rPr>
          <w:rFonts w:ascii="黑体" w:hAnsi="黑体" w:eastAsia="黑体"/>
          <w:szCs w:val="32"/>
        </w:rPr>
      </w:pPr>
      <w:r>
        <w:rPr>
          <w:rFonts w:hint="eastAsia" w:ascii="黑体" w:hAnsi="黑体" w:eastAsia="黑体"/>
          <w:szCs w:val="32"/>
        </w:rPr>
        <w:t>(一)评价结论</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(二)绩效分析</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四、项目主要经验及做法、存在的问题和建议 </w:t>
      </w:r>
    </w:p>
    <w:p>
      <w:pPr>
        <w:spacing w:line="440" w:lineRule="exact"/>
        <w:ind w:firstLine="420" w:firstLineChars="200"/>
        <w:jc w:val="left"/>
        <w:rPr>
          <w:rFonts w:ascii="黑体" w:hAnsi="黑体" w:eastAsia="黑体"/>
          <w:szCs w:val="32"/>
        </w:rPr>
      </w:pPr>
      <w:r>
        <w:rPr>
          <w:rFonts w:hint="eastAsia" w:ascii="黑体" w:hAnsi="黑体" w:eastAsia="黑体"/>
          <w:szCs w:val="32"/>
        </w:rPr>
        <w:t>(一)主要经验及做法</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(二)存在的问题</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(三)建议和改进措施 </w:t>
      </w:r>
    </w:p>
    <w:p>
      <w:pPr>
        <w:spacing w:line="440" w:lineRule="exact"/>
        <w:ind w:firstLine="420" w:firstLineChars="200"/>
        <w:jc w:val="left"/>
        <w:rPr>
          <w:rFonts w:ascii="黑体" w:hAnsi="黑体" w:eastAsia="黑体"/>
          <w:szCs w:val="32"/>
        </w:rPr>
      </w:pPr>
      <w:r>
        <w:rPr>
          <w:rFonts w:hint="eastAsia" w:ascii="黑体" w:hAnsi="黑体" w:eastAsia="黑体"/>
          <w:szCs w:val="32"/>
        </w:rPr>
        <w:t>五、附件</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附件一：绩效评价指标体系 </w:t>
      </w:r>
    </w:p>
    <w:p>
      <w:pPr>
        <w:spacing w:line="440" w:lineRule="exact"/>
        <w:ind w:firstLine="420" w:firstLineChars="200"/>
        <w:jc w:val="left"/>
        <w:rPr>
          <w:rFonts w:ascii="黑体" w:hAnsi="黑体" w:eastAsia="黑体"/>
          <w:szCs w:val="32"/>
        </w:rPr>
      </w:pPr>
      <w:r>
        <w:rPr>
          <w:rFonts w:hint="eastAsia" w:ascii="黑体" w:hAnsi="黑体" w:eastAsia="黑体"/>
          <w:szCs w:val="32"/>
        </w:rPr>
        <w:t>附件二：基础数据表</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附件三：资金文件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附件四：绩效目标申报表 </w:t>
      </w:r>
    </w:p>
    <w:p>
      <w:pPr>
        <w:spacing w:line="440" w:lineRule="exact"/>
        <w:ind w:firstLine="420" w:firstLineChars="200"/>
        <w:jc w:val="left"/>
        <w:rPr>
          <w:rFonts w:ascii="黑体" w:hAnsi="黑体" w:eastAsia="黑体"/>
          <w:szCs w:val="32"/>
        </w:rPr>
      </w:pPr>
      <w:r>
        <w:rPr>
          <w:rFonts w:hint="eastAsia" w:ascii="黑体" w:hAnsi="黑体" w:eastAsia="黑体"/>
          <w:szCs w:val="32"/>
        </w:rPr>
        <w:tab/>
      </w:r>
      <w:r>
        <w:rPr>
          <w:rFonts w:hint="eastAsia" w:ascii="黑体" w:hAnsi="黑体" w:eastAsia="黑体"/>
          <w:szCs w:val="32"/>
        </w:rPr>
        <w:t xml:space="preserve">  </w:t>
      </w:r>
    </w:p>
    <w:p>
      <w:pPr>
        <w:spacing w:line="540" w:lineRule="exact"/>
        <w:rPr>
          <w:rFonts w:ascii="方正小标宋_GBK" w:hAnsi="黑体" w:eastAsia="方正小标宋_GBK"/>
          <w:szCs w:val="32"/>
        </w:rPr>
      </w:pPr>
    </w:p>
    <w:p>
      <w:pPr>
        <w:pStyle w:val="2"/>
        <w:bidi w:val="0"/>
        <w:jc w:val="center"/>
        <w:rPr>
          <w:rFonts w:hint="eastAsia"/>
          <w:lang w:eastAsia="zh-CN"/>
        </w:rPr>
      </w:pPr>
      <w:r>
        <w:rPr>
          <w:rFonts w:hint="eastAsia"/>
          <w:lang w:eastAsia="zh-CN"/>
        </w:rPr>
        <w:t>迪庆州农业农村局</w:t>
      </w:r>
      <w:r>
        <w:rPr>
          <w:rFonts w:hint="eastAsia"/>
          <w:lang w:val="en-US" w:eastAsia="zh-CN"/>
        </w:rPr>
        <w:t>2019年</w:t>
      </w:r>
      <w:r>
        <w:rPr>
          <w:rFonts w:hint="eastAsia"/>
          <w:lang w:eastAsia="zh-CN"/>
        </w:rPr>
        <w:t>农业产业化</w:t>
      </w:r>
    </w:p>
    <w:p>
      <w:pPr>
        <w:pStyle w:val="2"/>
        <w:bidi w:val="0"/>
        <w:jc w:val="center"/>
      </w:pPr>
      <w:r>
        <w:rPr>
          <w:rFonts w:hint="eastAsia"/>
        </w:rPr>
        <w:t>项目支出绩效自评报告</w:t>
      </w:r>
    </w:p>
    <w:p>
      <w:pPr>
        <w:spacing w:line="440" w:lineRule="exact"/>
        <w:ind w:firstLine="420" w:firstLineChars="200"/>
        <w:jc w:val="left"/>
        <w:rPr>
          <w:rFonts w:ascii="黑体" w:hAnsi="黑体" w:eastAsia="黑体"/>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摘要：</w:t>
      </w:r>
      <w:r>
        <w:rPr>
          <w:rFonts w:hint="eastAsia" w:ascii="方正仿宋_GBK" w:hAnsi="方正仿宋_GBK" w:eastAsia="方正仿宋_GBK" w:cs="方正仿宋_GBK"/>
          <w:sz w:val="32"/>
          <w:szCs w:val="32"/>
        </w:rPr>
        <w:t>根据迪财农【2019】61号文件相关要求，州农业农村局乡村产业发展与产品质量监管科紧紧围绕农业产业化经费</w:t>
      </w:r>
      <w:r>
        <w:rPr>
          <w:rFonts w:hint="eastAsia" w:ascii="方正仿宋_GBK" w:hAnsi="方正仿宋_GBK" w:eastAsia="方正仿宋_GBK" w:cs="方正仿宋_GBK"/>
          <w:sz w:val="32"/>
          <w:szCs w:val="32"/>
          <w:lang w:val="en-US" w:eastAsia="zh-CN"/>
        </w:rPr>
        <w:t>100万元</w:t>
      </w:r>
      <w:r>
        <w:rPr>
          <w:rFonts w:hint="eastAsia" w:ascii="方正仿宋_GBK" w:hAnsi="方正仿宋_GBK" w:eastAsia="方正仿宋_GBK" w:cs="方正仿宋_GBK"/>
          <w:sz w:val="32"/>
          <w:szCs w:val="32"/>
        </w:rPr>
        <w:t>用于农业产业化工作推进及品牌打造；开展全州农业产业化、农产品加工、休闲农业、创业创新统计报表工作及展位费，完成品牌推介工作和培育龙头企业等任务开展相关工作</w:t>
      </w:r>
      <w:r>
        <w:rPr>
          <w:rFonts w:hint="eastAsia" w:ascii="方正仿宋_GBK" w:hAnsi="方正仿宋_GBK" w:eastAsia="方正仿宋_GBK" w:cs="方正仿宋_GBK"/>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项目概况：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lang w:eastAsia="zh-CN"/>
        </w:rPr>
        <w:t>立项背景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为指导乡村特色产业、农产品加工业、休闲农业和农业龙头企业、乡镇企业发展工作。培育、保护农业品牌，打造世界一流“绿色食品牌”。组织农业会展，促进招商引资，提出促进农产品流通和市场开拓的建议，发布农业农村经济信息，监测分析农业农村经济运行情况，牵头开展农业对外合作工作。承办农业涉外事务，组织开展农业贸易促进和有关国际、省际和州市间交流合作，特立农业产业化项目，推动农业产业化相关工作。</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lang w:eastAsia="zh-CN"/>
        </w:rPr>
        <w:t>立项目的</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迪庆州</w:t>
      </w:r>
      <w:r>
        <w:rPr>
          <w:rFonts w:hint="eastAsia" w:ascii="方正仿宋_GBK" w:hAnsi="方正仿宋_GBK" w:eastAsia="方正仿宋_GBK" w:cs="方正仿宋_GBK"/>
          <w:sz w:val="32"/>
          <w:szCs w:val="32"/>
        </w:rPr>
        <w:t>农业农村局乡村产业发展与产品质量监管科紧紧围绕农业产业化经费用于农业产业化工作推进及品牌打造；开展全州农业产业化、农产品加工、休闲农业、创业创新统计报表工作及展位费，完成品牌推介工作和培育龙头企业等任务开展相关工作</w:t>
      </w:r>
      <w:r>
        <w:rPr>
          <w:rFonts w:hint="eastAsia" w:ascii="方正仿宋_GBK" w:hAnsi="方正仿宋_GBK" w:eastAsia="方正仿宋_GBK" w:cs="方正仿宋_GBK"/>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lang w:eastAsia="zh-CN"/>
        </w:rPr>
        <w:t>预算收支情况</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220" w:leftChars="0" w:firstLine="640" w:firstLineChars="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迪庆州农业农村局参加“三区三州”贫困地区产销对接会；商洽会；农博会；北京（上海）高原特色推介会等13场展会暨开展相关招商引资工作。</w:t>
      </w:r>
      <w:r>
        <w:rPr>
          <w:rFonts w:hint="eastAsia" w:ascii="方正仿宋_GBK" w:hAnsi="方正仿宋_GBK" w:eastAsia="方正仿宋_GBK" w:cs="方正仿宋_GBK"/>
          <w:sz w:val="32"/>
          <w:szCs w:val="32"/>
          <w:lang w:eastAsia="zh-CN"/>
        </w:rPr>
        <w:t>预算支出数</w:t>
      </w:r>
      <w:r>
        <w:rPr>
          <w:rFonts w:hint="eastAsia" w:ascii="方正仿宋_GBK" w:hAnsi="方正仿宋_GBK" w:eastAsia="方正仿宋_GBK" w:cs="方正仿宋_GBK"/>
          <w:sz w:val="32"/>
          <w:szCs w:val="32"/>
          <w:lang w:val="en-US" w:eastAsia="zh-CN"/>
        </w:rPr>
        <w:t>60万元，实际支出数60万元。</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220" w:leftChars="0" w:firstLine="640" w:firstLineChars="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培育州级龙头企业和省级龙头企业，考核全州60家龙头企业 ，完成农业产业化报表和推进农业产业化项目。</w:t>
      </w:r>
      <w:r>
        <w:rPr>
          <w:rFonts w:hint="eastAsia" w:ascii="方正仿宋_GBK" w:hAnsi="方正仿宋_GBK" w:eastAsia="方正仿宋_GBK" w:cs="方正仿宋_GBK"/>
          <w:sz w:val="32"/>
          <w:szCs w:val="32"/>
          <w:lang w:eastAsia="zh-CN"/>
        </w:rPr>
        <w:t>预算支出数</w:t>
      </w:r>
      <w:r>
        <w:rPr>
          <w:rFonts w:hint="eastAsia" w:ascii="方正仿宋_GBK" w:hAnsi="方正仿宋_GBK" w:eastAsia="方正仿宋_GBK" w:cs="方正仿宋_GBK"/>
          <w:sz w:val="32"/>
          <w:szCs w:val="32"/>
          <w:lang w:val="en-US" w:eastAsia="zh-CN"/>
        </w:rPr>
        <w:t>40万元，实际支出数40万元。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二、评价结论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bookmarkStart w:id="0" w:name="_GoBack"/>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培育龙头企业方面：2019年培育州级龙头企业和省级龙头企业目标任务是3家，实际完成4家，圆满完成目标任务；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农业产业化项目推进方面：2019年度完成农业产业化项目推进9个，实际完成10个，圆满完成目标任务；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报表统计工作方面：按时、按质、按量完成四套报表统计工作；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参加展会方面：2019年度参加展会目标数为11次，实际完成南博会、农博会、进口博览会等13场展会；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招商引资方面：2019年度招商引资任务数为3亿元，实际完成3.47亿元，完成金额以投资促进局系统中农业产业方面投资金额为准；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服务对象满意方面：服务企业、合作社、种养殖大户在参展和品牌推广中满意度为90%以上，达到目标任务指标。</w:t>
      </w:r>
    </w:p>
    <w:bookmarkEnd w:id="0"/>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三、经验、问题和建议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rPr>
        <w:t>1.主要经验及做法</w:t>
      </w:r>
      <w:r>
        <w:rPr>
          <w:rFonts w:hint="eastAsia" w:ascii="方正仿宋_GBK" w:hAnsi="方正仿宋_GBK" w:eastAsia="方正仿宋_GBK" w:cs="方正仿宋_GBK"/>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成立项目技术小组，明确责任分工；制定项目实施方案；建立内控制度及财务管理制度</w:t>
      </w:r>
      <w:r>
        <w:rPr>
          <w:rFonts w:hint="eastAsia" w:ascii="方正仿宋_GBK" w:hAnsi="方正仿宋_GBK" w:eastAsia="方正仿宋_GBK" w:cs="方正仿宋_GBK"/>
          <w:sz w:val="32"/>
          <w:szCs w:val="32"/>
          <w:lang w:eastAsia="zh-CN"/>
        </w:rPr>
        <w:t>；部门报州级财政预算，经迪庆州人大会议审议通过，报州人民政府批准，由州财政局分配项目资金；严格执行国家《行政事业单位内部控制规范》，严肃财经纪律，提高财务管理效率，防范和控制财务风险，保证资金安全，专项资金专款专用，提高资金使用效益。</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rPr>
        <w:t>2.存在的问题</w:t>
      </w:r>
      <w:r>
        <w:rPr>
          <w:rFonts w:hint="eastAsia" w:ascii="方正仿宋_GBK" w:hAnsi="方正仿宋_GBK" w:eastAsia="方正仿宋_GBK" w:cs="方正仿宋_GBK"/>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在开展农业产业化品牌推介工作过程中，特别是参加省内、外展会时，参加企业因没有任何补助导致企业不愿参加展会及品牌推广工作。</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rPr>
        <w:t>改进措施及建议</w:t>
      </w:r>
      <w:r>
        <w:rPr>
          <w:rFonts w:hint="eastAsia" w:ascii="方正仿宋_GBK" w:hAnsi="方正仿宋_GBK" w:eastAsia="方正仿宋_GBK" w:cs="方正仿宋_GBK"/>
          <w:b/>
          <w:bCs/>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资金下拨及使用严格按照项目预算执行，对重点项目进行过程控制；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绩效运行跟踪监控管理、绩效评价实施管理，严格进行行政成本控制</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lang w:eastAsia="zh-CN"/>
        </w:rPr>
        <w:t>）部门绩效评价需结合部门实际，以便更切实际反应绩效和项目实效，使其更符合农牧和三农实际又能达到绩效评价目标。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lang w:eastAsia="zh-CN"/>
        </w:rPr>
        <w:t>在农业产业化工作推进中，将部分经费划定用于补助企业参展和品牌推介工作，提高企业参展和品牌推介工作积极性。</w:t>
      </w: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spacing w:line="440" w:lineRule="exact"/>
        <w:ind w:firstLine="640" w:firstLineChars="200"/>
        <w:jc w:val="center"/>
        <w:rPr>
          <w:rFonts w:hint="eastAsia" w:ascii="方正仿宋_GBK" w:hAnsi="方正仿宋_GBK" w:eastAsia="方正仿宋_GBK" w:cs="方正仿宋_GBK"/>
          <w:sz w:val="32"/>
          <w:szCs w:val="32"/>
        </w:rPr>
      </w:pPr>
    </w:p>
    <w:p>
      <w:pPr>
        <w:pStyle w:val="2"/>
        <w:bidi w:val="0"/>
        <w:jc w:val="both"/>
        <w:rPr>
          <w:rFonts w:hint="eastAsia"/>
        </w:rPr>
      </w:pPr>
    </w:p>
    <w:p>
      <w:pPr>
        <w:rPr>
          <w:rFonts w:hint="eastAsia"/>
        </w:rPr>
      </w:pPr>
    </w:p>
    <w:p>
      <w:pPr>
        <w:pStyle w:val="2"/>
        <w:bidi w:val="0"/>
        <w:jc w:val="center"/>
      </w:pPr>
      <w:r>
        <w:rPr>
          <w:rFonts w:hint="eastAsia"/>
          <w:lang w:eastAsia="zh-CN"/>
        </w:rPr>
        <w:t>迪庆州农业农村局</w:t>
      </w:r>
      <w:r>
        <w:rPr>
          <w:rFonts w:hint="eastAsia"/>
          <w:lang w:val="en-US" w:eastAsia="zh-CN"/>
        </w:rPr>
        <w:t>2019年</w:t>
      </w:r>
      <w:r>
        <w:rPr>
          <w:rFonts w:hint="eastAsia"/>
        </w:rPr>
        <w:t>农业产业化项目支出绩效自评报告</w:t>
      </w:r>
    </w:p>
    <w:p>
      <w:pPr>
        <w:topLinePunct/>
        <w:spacing w:line="440" w:lineRule="exact"/>
        <w:ind w:firstLine="525" w:firstLineChars="250"/>
        <w:rPr>
          <w:rFonts w:ascii="黑体" w:eastAsia="黑体"/>
          <w:szCs w:val="32"/>
        </w:rPr>
      </w:pP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一、项目基本情况</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（一）项目概况。</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1.立项背景及目的。</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指导乡村特色产业、农产品加工业、休闲农业和农业龙头企业、乡镇企业发展工作。培育、保护农业品牌，打造世界一流“绿色食品牌”。组织农业会展，促进招商引资，提出促进农产品流通和市场开拓的建议，发布农业农村经济信息，监测分析农业农村经济运行情况，牵头开展农业对外合作工作。承办农业涉外事务，组织开展农业贸易促进和有关国际、省际和州市间交流合作，特立农业产业化项目，推动农业产业化相关工作。</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2.项目实施情况。</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迪庆州农业农村局乡村产业发展与产品质量监管科紧紧围绕农业产业化经费用于农业产业化工作推进及品牌打造；开展全州农业产业化、农产品加工、休闲农业、创业创新统计报表工作及展位费，完成品牌推介工作和培育龙头企业等任务开展相关工作。</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3.资金来源及使用情况。</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迪庆州农业农村局参加“三区三州”贫困地区产销对接会；商洽会；农博会；北京（上海）高原特色推介会等13场展会暨开展相关招商引资工作。</w:t>
      </w:r>
      <w:r>
        <w:rPr>
          <w:rFonts w:hint="eastAsia" w:ascii="方正仿宋_GBK" w:hAnsi="方正仿宋_GBK" w:eastAsia="方正仿宋_GBK" w:cs="方正仿宋_GBK"/>
          <w:sz w:val="32"/>
          <w:szCs w:val="32"/>
          <w:lang w:eastAsia="zh-CN"/>
        </w:rPr>
        <w:t>资金来源州级财政，</w:t>
      </w:r>
      <w:r>
        <w:rPr>
          <w:rFonts w:hint="eastAsia" w:ascii="方正仿宋_GBK" w:hAnsi="方正仿宋_GBK" w:eastAsia="方正仿宋_GBK" w:cs="方正仿宋_GBK"/>
          <w:sz w:val="32"/>
          <w:szCs w:val="32"/>
        </w:rPr>
        <w:t>预算支出数60万元，实际支出数60万元。</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培育州级龙头企业和省级龙头企业，考核全州60家龙头企业 ，完成农业产业化报表和推进农业产业化项目。</w:t>
      </w:r>
      <w:r>
        <w:rPr>
          <w:rFonts w:hint="eastAsia" w:ascii="方正仿宋_GBK" w:hAnsi="方正仿宋_GBK" w:eastAsia="方正仿宋_GBK" w:cs="方正仿宋_GBK"/>
          <w:sz w:val="32"/>
          <w:szCs w:val="32"/>
          <w:lang w:eastAsia="zh-CN"/>
        </w:rPr>
        <w:t>资金来源州级财政，</w:t>
      </w:r>
      <w:r>
        <w:rPr>
          <w:rFonts w:hint="eastAsia" w:ascii="方正仿宋_GBK" w:hAnsi="方正仿宋_GBK" w:eastAsia="方正仿宋_GBK" w:cs="方正仿宋_GBK"/>
          <w:sz w:val="32"/>
          <w:szCs w:val="32"/>
        </w:rPr>
        <w:t>预算支出数40万元，实际支出数40万元。</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4.组织及管理情况。</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立项目技术小组，明确责任分工；制定项目实施方案；建立内控制度及财务管理制度；部门报州级财政预算，经迪庆州人大会议审议通过，报州人民政府批准，由州财政局分配项目资金；严格执行国家《行政事业单位内部控制规范》，严肃财经纪律，提高财务管理效率，防范和控制财务风险，保证资金安全，专项资金专款专用，提高资金使用效益。</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（二）绩效目标。</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1.总目标。</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龙头企业的培育和奖励，展会的品牌推广促进部门绩效目标的实现</w:t>
      </w:r>
      <w:r>
        <w:rPr>
          <w:rFonts w:hint="eastAsia" w:ascii="方正仿宋_GBK" w:hAnsi="方正仿宋_GBK" w:eastAsia="方正仿宋_GBK" w:cs="方正仿宋_GBK"/>
          <w:sz w:val="32"/>
          <w:szCs w:val="32"/>
          <w:lang w:eastAsia="zh-CN"/>
        </w:rPr>
        <w:t>；项目绩效促进了部门整体绩效目标的实现；项目实施对项目签约、销售订单、学习交流、品牌宣传、培育龙头企业都实现了年度计划。</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2.年度目标。</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（1）迪庆州农业农村局参加“三区三州”贫困地区产销对接会；商洽会；农博会；北京（上海）高原特色推介会等13场展会暨开展相关招商引资工作。</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（2）培育州级龙头企业和省级龙头企业，考核全州60家龙头企业 ，完成农业产业化报表和推进农业产业化项目。</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二、绩效评价工作情况</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（一）绩效评价目的。</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（二）绩效评价工作方案制定过程。</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1.前期调研。</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项目实施前</w:t>
      </w:r>
      <w:r>
        <w:rPr>
          <w:rFonts w:hint="eastAsia" w:ascii="方正仿宋_GBK" w:hAnsi="方正仿宋_GBK" w:eastAsia="方正仿宋_GBK" w:cs="方正仿宋_GBK"/>
          <w:sz w:val="32"/>
          <w:szCs w:val="32"/>
          <w:lang w:eastAsia="zh-CN"/>
        </w:rPr>
        <w:t>对以往年相关对外招商引资对接会进行成本预算，确保资金使用效率；制定绩效评价指标体系；整理绩效评价依据；制定实施方案。</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2.研究文件。</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严格执行国家《行政事业单位内部控制规范》，严肃财经纪律，提高财务管理效率，防范和控制财务风险，保证资金安全，专项资金专款专用，提高资金使用效益。</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3.绩效评价指标体系及工作方案的设计。</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立项目技术小组，明确责任分工；制定项目实施方案；建立内控制度及财务管理制度；部门报州级财政预算，经迪庆州人大会议审议通过，报州人民政府批准，由州财政局分配项目资金；严格执行国家《行政事业单位内部控制规范》，严肃财经纪律，提高财务管理效率，防范和控制财务风险，保证资金安全，专项资金专款专用，提高资金使用效益。</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（三）绩效评价原则、评价方法</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1.绩效评价原则。</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科学规范、公开公正、绩效相关等原则。</w:t>
      </w:r>
    </w:p>
    <w:p>
      <w:pPr>
        <w:keepNext w:val="0"/>
        <w:keepLines w:val="0"/>
        <w:pageBreakBefore w:val="0"/>
        <w:widowControl w:val="0"/>
        <w:numPr>
          <w:ilvl w:val="0"/>
          <w:numId w:val="5"/>
        </w:numPr>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绩效评价方法。</w:t>
      </w:r>
    </w:p>
    <w:p>
      <w:pPr>
        <w:keepNext w:val="0"/>
        <w:keepLines w:val="0"/>
        <w:pageBreakBefore w:val="0"/>
        <w:widowControl w:val="0"/>
        <w:numPr>
          <w:ilvl w:val="0"/>
          <w:numId w:val="0"/>
        </w:numPr>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指标评价法。</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（四）绩效评价实施过程</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1.数据填报和采集。</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2.社会调查。</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3.数据分析和撰写报告。</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（五）本次绩效评价的局限性。</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在开展农业产业化品牌推介工作过程中，特别是参加省内、外展会时，参加企业因没有任何补助导致企业不愿参加展会及品广工作。</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三、评价结论和绩效分析</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（一）评价结论。</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1.评价结果。</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通过严格项目经费的支出，科学管理，精心组织，严把各项经费的审批关的实施，达到了节约成本、提高效率的效果</w:t>
      </w:r>
      <w:r>
        <w:rPr>
          <w:rFonts w:hint="eastAsia" w:ascii="方正仿宋_GBK" w:hAnsi="方正仿宋_GBK" w:eastAsia="方正仿宋_GBK" w:cs="方正仿宋_GBK"/>
          <w:sz w:val="32"/>
          <w:szCs w:val="32"/>
          <w:lang w:eastAsia="zh-CN"/>
        </w:rPr>
        <w:t xml:space="preserve">；根据项目的推进，按照《迪庆州内部审计工作规定》和《行政事业单位内部控制规范》的要求，严格项目经费的支出，科学管理，精心组织，严把各项经费的审批关，不断改进，提高项目的执行能力，更好的完成任务；项目绩效促进了部门整体绩效目标的实现。项目实施对项目签约、销售订单、学习交流、品牌宣传、培育龙头企业都实现了年度计划。绩效评价结果为优。    </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2.主要绩效。</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2019年培育州级龙头企业和省级龙头企业目标任务是3家，实际完成4家</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四套报表统计工作完成；</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2019年度完成农业产业化项目推进10个；</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完成招商引资3.47亿元；</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服务企业满意度到达90%以上。</w:t>
      </w:r>
    </w:p>
    <w:p>
      <w:pPr>
        <w:keepNext w:val="0"/>
        <w:keepLines w:val="0"/>
        <w:pageBreakBefore w:val="0"/>
        <w:widowControl w:val="0"/>
        <w:numPr>
          <w:ilvl w:val="0"/>
          <w:numId w:val="6"/>
        </w:numPr>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具体绩效分析。</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2019年培育州级龙头企业和省级龙头企业目标任务是3家，实际完成4家</w:t>
      </w:r>
      <w:r>
        <w:rPr>
          <w:rFonts w:hint="eastAsia" w:ascii="方正仿宋_GBK" w:hAnsi="方正仿宋_GBK" w:eastAsia="方正仿宋_GBK" w:cs="方正仿宋_GBK"/>
          <w:sz w:val="32"/>
          <w:szCs w:val="32"/>
          <w:lang w:eastAsia="zh-CN"/>
        </w:rPr>
        <w:t>，完成率</w:t>
      </w:r>
      <w:r>
        <w:rPr>
          <w:rFonts w:hint="eastAsia" w:ascii="方正仿宋_GBK" w:hAnsi="方正仿宋_GBK" w:eastAsia="方正仿宋_GBK" w:cs="方正仿宋_GBK"/>
          <w:sz w:val="32"/>
          <w:szCs w:val="32"/>
          <w:lang w:val="en-US" w:eastAsia="zh-CN"/>
        </w:rPr>
        <w:t>130%</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四套报表统计工作完成率</w:t>
      </w:r>
      <w:r>
        <w:rPr>
          <w:rFonts w:hint="eastAsia" w:ascii="方正仿宋_GBK" w:hAnsi="方正仿宋_GBK" w:eastAsia="方正仿宋_GBK" w:cs="方正仿宋_GBK"/>
          <w:sz w:val="32"/>
          <w:szCs w:val="32"/>
          <w:lang w:val="en-US" w:eastAsia="zh-CN"/>
        </w:rPr>
        <w:t>100%；</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lang w:eastAsia="zh-CN"/>
        </w:rPr>
        <w:t>2019年度完成农业产业化项目推进10个，完成率</w:t>
      </w:r>
      <w:r>
        <w:rPr>
          <w:rFonts w:hint="eastAsia" w:ascii="方正仿宋_GBK" w:hAnsi="方正仿宋_GBK" w:eastAsia="方正仿宋_GBK" w:cs="方正仿宋_GBK"/>
          <w:sz w:val="32"/>
          <w:szCs w:val="32"/>
          <w:lang w:val="en-US" w:eastAsia="zh-CN"/>
        </w:rPr>
        <w:t>110%</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lang w:eastAsia="zh-CN"/>
        </w:rPr>
        <w:t>完成招商引资3.47亿元，完成率</w:t>
      </w:r>
      <w:r>
        <w:rPr>
          <w:rFonts w:hint="eastAsia" w:ascii="方正仿宋_GBK" w:hAnsi="方正仿宋_GBK" w:eastAsia="方正仿宋_GBK" w:cs="方正仿宋_GBK"/>
          <w:sz w:val="32"/>
          <w:szCs w:val="32"/>
          <w:lang w:val="en-US" w:eastAsia="zh-CN"/>
        </w:rPr>
        <w:t>115%</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lang w:eastAsia="zh-CN"/>
        </w:rPr>
        <w:t>服务企业满意度到达90%以上。</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四、成本效益分析。</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通过严格项目经费的支出，科学管理，精心组织，严把各项经费的审批关的实施，达到了节约成本、提高效率的效果</w:t>
      </w:r>
      <w:r>
        <w:rPr>
          <w:rFonts w:hint="eastAsia" w:ascii="方正仿宋_GBK" w:hAnsi="方正仿宋_GBK" w:eastAsia="方正仿宋_GBK" w:cs="方正仿宋_GBK"/>
          <w:sz w:val="32"/>
          <w:szCs w:val="32"/>
          <w:lang w:eastAsia="zh-CN"/>
        </w:rPr>
        <w:t xml:space="preserve">；根据项目的推进，按照《迪庆州内部审计工作规定》和《行政事业单位内部控制规范》的要求，严格项目经费的支出，科学管理，精心组织，严把各项经费的审批关，不断改进，提高项目的执行能力，更好的完成任务；项目绩效促进了部门整体绩效目标的实现。项目实施对项目签约、销售订单、学习交流、品牌宣传、培育龙头企业都实现了年度计划。绩效评价结果为优。   </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五、主要经验及做法、存在的问题和建议</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rPr>
        <w:t>（一）主要经验及做法</w:t>
      </w:r>
      <w:r>
        <w:rPr>
          <w:rFonts w:hint="eastAsia" w:ascii="方正仿宋_GBK" w:hAnsi="方正仿宋_GBK" w:eastAsia="方正仿宋_GBK" w:cs="方正仿宋_GBK"/>
          <w:b/>
          <w:bCs/>
          <w:sz w:val="32"/>
          <w:szCs w:val="32"/>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成立项目技术小组，明确责任分工；制定项目实施方案；建立内控制度及财务管理制度</w:t>
      </w:r>
      <w:r>
        <w:rPr>
          <w:rFonts w:hint="eastAsia" w:ascii="方正仿宋_GBK" w:hAnsi="方正仿宋_GBK" w:eastAsia="方正仿宋_GBK" w:cs="方正仿宋_GBK"/>
          <w:sz w:val="32"/>
          <w:szCs w:val="32"/>
          <w:lang w:eastAsia="zh-CN"/>
        </w:rPr>
        <w:t>；部门报州级财政预算，经迪庆州人大会议审议通过，报州人民政府批准，由州财政局分配项目资金；严格执行国家《行政事业单位内部控制规范》，严肃财经纪律，提高财务管理效率，防范和控制财务风险，保证资金安全，专项资金专款专用，提高资金使用效益。</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rPr>
        <w:t>（二）存在的问题</w:t>
      </w:r>
      <w:r>
        <w:rPr>
          <w:rFonts w:hint="eastAsia" w:ascii="方正仿宋_GBK" w:hAnsi="方正仿宋_GBK" w:eastAsia="方正仿宋_GBK" w:cs="方正仿宋_GBK"/>
          <w:b/>
          <w:bCs/>
          <w:sz w:val="32"/>
          <w:szCs w:val="32"/>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在开展农业产业化品牌推介工作过程中，特别是参加省内、外展会时，参加企业因没有任何补助导致企业不愿参加展会及品牌推广工作。</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（三）建议和改进措施。</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资金下拨及使用严格按照项目预算执行，对重点项目进行过程控制；</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绩效运行跟踪监控管理、绩效评价实施管理，严格进行行政成本控制</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lang w:eastAsia="zh-CN"/>
        </w:rPr>
        <w:t>）部门绩效评价需结合部门实际，以便更切实际反应绩效和项目实效，使其更符合农牧和三农实际又能达到绩效评价目标。</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lang w:eastAsia="zh-CN"/>
        </w:rPr>
        <w:t>在农业产业化工作推进中，将部分经费划定用于补助企业参展和品牌推介工作，提高企业参展和品牌推介工作积极性。</w:t>
      </w:r>
    </w:p>
    <w:p>
      <w:pPr>
        <w:keepNext w:val="0"/>
        <w:keepLines w:val="0"/>
        <w:pageBreakBefore w:val="0"/>
        <w:widowControl w:val="0"/>
        <w:kinsoku/>
        <w:wordWrap/>
        <w:overflowPunct/>
        <w:topLinePunct/>
        <w:autoSpaceDE/>
        <w:autoSpaceDN/>
        <w:bidi w:val="0"/>
        <w:adjustRightInd/>
        <w:snapToGrid/>
        <w:spacing w:line="360" w:lineRule="auto"/>
        <w:textAlignment w:val="auto"/>
        <w:rPr>
          <w:rFonts w:hint="eastAsia" w:ascii="方正仿宋_GBK" w:hAnsi="方正仿宋_GBK" w:eastAsia="方正仿宋_GBK" w:cs="方正仿宋_GBK"/>
          <w:sz w:val="32"/>
          <w:szCs w:val="32"/>
          <w:lang w:eastAsia="zh-CN"/>
        </w:rPr>
      </w:pPr>
    </w:p>
    <w:p>
      <w:pPr>
        <w:spacing w:line="440" w:lineRule="exact"/>
        <w:rPr>
          <w:rFonts w:hint="eastAsia" w:ascii="方正仿宋_GBK" w:hAnsi="方正仿宋_GBK" w:eastAsia="方正仿宋_GBK" w:cs="方正仿宋_GBK"/>
          <w:sz w:val="32"/>
          <w:szCs w:val="32"/>
        </w:rPr>
      </w:pPr>
    </w:p>
    <w:p>
      <w:pPr>
        <w:spacing w:line="440" w:lineRule="exact"/>
        <w:jc w:val="center"/>
        <w:rPr>
          <w:rFonts w:ascii="方正小标宋_GBK" w:eastAsia="方正小标宋_GBK"/>
        </w:rPr>
      </w:pPr>
      <w:r>
        <w:rPr>
          <w:rFonts w:hint="eastAsia" w:ascii="方正小标宋_GBK" w:eastAsia="方正小标宋_GBK"/>
        </w:rPr>
        <w:t>绩效评价报告正文后附以下佐证材料</w:t>
      </w:r>
    </w:p>
    <w:p>
      <w:pPr>
        <w:spacing w:line="440" w:lineRule="exact"/>
        <w:ind w:left="630" w:hanging="630" w:hangingChars="300"/>
        <w:jc w:val="left"/>
        <w:rPr>
          <w:rFonts w:ascii="仿宋_GB2312" w:hAnsi="仿宋" w:eastAsia="仿宋_GB2312"/>
        </w:rPr>
      </w:pPr>
      <w:r>
        <w:rPr>
          <w:rFonts w:hint="eastAsia" w:ascii="仿宋_GB2312" w:hAnsi="仿宋" w:eastAsia="仿宋_GB2312"/>
        </w:rPr>
        <w:t>1.绩效评价指标体系；</w:t>
      </w:r>
    </w:p>
    <w:p>
      <w:pPr>
        <w:spacing w:line="520" w:lineRule="exact"/>
        <w:rPr>
          <w:rFonts w:hint="eastAsia" w:ascii="仿宋_GB2312" w:hAnsi="仿宋" w:eastAsia="仿宋_GB2312"/>
        </w:rPr>
      </w:pPr>
      <w:r>
        <w:rPr>
          <w:rFonts w:hint="eastAsia" w:ascii="仿宋_GB2312" w:hAnsi="仿宋" w:eastAsia="仿宋_GB2312"/>
          <w:lang w:val="en-US" w:eastAsia="zh-CN"/>
        </w:rPr>
        <w:t>2</w:t>
      </w:r>
      <w:r>
        <w:rPr>
          <w:rFonts w:hint="eastAsia" w:ascii="仿宋_GB2312" w:hAnsi="仿宋" w:eastAsia="仿宋_GB2312"/>
        </w:rPr>
        <w:t>.①</w:t>
      </w:r>
      <w:r>
        <w:rPr>
          <w:rFonts w:hint="eastAsia" w:ascii="仿宋_GB2312" w:hAnsi="仿宋" w:eastAsia="仿宋_GB2312"/>
          <w:lang w:eastAsia="zh-CN"/>
        </w:rPr>
        <w:t>资金文件</w:t>
      </w:r>
      <w:r>
        <w:rPr>
          <w:rFonts w:hint="eastAsia" w:ascii="仿宋_GB2312" w:hAnsi="仿宋" w:eastAsia="仿宋_GB2312"/>
        </w:rPr>
        <w:t>；②绩效目标申报表。</w:t>
      </w:r>
    </w:p>
    <w:p>
      <w:pPr>
        <w:spacing w:line="520" w:lineRule="exact"/>
        <w:rPr>
          <w:rFonts w:hint="eastAsia" w:ascii="仿宋_GB2312" w:hAnsi="仿宋" w:eastAsia="仿宋_GB2312"/>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auto"/>
        <w:rPr>
          <w:rFonts w:hint="eastAsia" w:ascii="方正仿宋_GBK" w:hAnsi="方正仿宋_GBK" w:eastAsia="方正仿宋_GBK" w:cs="方正仿宋_GBK"/>
          <w:sz w:val="32"/>
          <w:szCs w:val="32"/>
          <w:lang w:val="en-US" w:eastAsia="zh-CN"/>
        </w:rPr>
      </w:pPr>
      <w:r>
        <w:rPr>
          <w:rFonts w:hint="eastAsia" w:ascii="仿宋_GB2312" w:hAnsi="仿宋" w:eastAsia="仿宋_GB2312"/>
          <w:lang w:val="en-US" w:eastAsia="zh-CN"/>
        </w:rPr>
        <w:t xml:space="preserve">                                        </w:t>
      </w:r>
      <w:r>
        <w:rPr>
          <w:rFonts w:hint="eastAsia" w:ascii="方正仿宋_GBK" w:hAnsi="方正仿宋_GBK" w:eastAsia="方正仿宋_GBK" w:cs="方正仿宋_GBK"/>
          <w:sz w:val="32"/>
          <w:szCs w:val="32"/>
          <w:lang w:val="en-US" w:eastAsia="zh-CN"/>
        </w:rPr>
        <w:t>迪庆州农业农村局</w:t>
      </w:r>
    </w:p>
    <w:p>
      <w:pPr>
        <w:keepNext w:val="0"/>
        <w:keepLines w:val="0"/>
        <w:pageBreakBefore w:val="0"/>
        <w:widowControl w:val="0"/>
        <w:kinsoku/>
        <w:wordWrap/>
        <w:overflowPunct/>
        <w:topLinePunct/>
        <w:autoSpaceDE/>
        <w:autoSpaceDN/>
        <w:bidi w:val="0"/>
        <w:adjustRightInd/>
        <w:snapToGrid/>
        <w:spacing w:line="360" w:lineRule="auto"/>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2020年5月26日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PMingLiU">
    <w:panose1 w:val="02020300000000000000"/>
    <w:charset w:val="88"/>
    <w:family w:val="roman"/>
    <w:pitch w:val="default"/>
    <w:sig w:usb0="00000003" w:usb1="082E0000" w:usb2="00000016" w:usb3="00000000" w:csb0="00100001" w:csb1="00000000"/>
  </w:font>
  <w:font w:name="方正仿宋_GBK">
    <w:altName w:val="微软雅黑"/>
    <w:panose1 w:val="03000509000000000000"/>
    <w:charset w:val="86"/>
    <w:family w:val="auto"/>
    <w:pitch w:val="default"/>
    <w:sig w:usb0="00000000" w:usb1="0000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0B1F0"/>
    <w:multiLevelType w:val="singleLevel"/>
    <w:tmpl w:val="AF90B1F0"/>
    <w:lvl w:ilvl="0" w:tentative="0">
      <w:start w:val="1"/>
      <w:numFmt w:val="decimal"/>
      <w:suff w:val="nothing"/>
      <w:lvlText w:val="%1、"/>
      <w:lvlJc w:val="left"/>
      <w:pPr>
        <w:ind w:left="-220"/>
      </w:pPr>
    </w:lvl>
  </w:abstractNum>
  <w:abstractNum w:abstractNumId="1">
    <w:nsid w:val="C99ED227"/>
    <w:multiLevelType w:val="singleLevel"/>
    <w:tmpl w:val="C99ED227"/>
    <w:lvl w:ilvl="0" w:tentative="0">
      <w:start w:val="2"/>
      <w:numFmt w:val="chineseCounting"/>
      <w:suff w:val="nothing"/>
      <w:lvlText w:val="（%1）"/>
      <w:lvlJc w:val="left"/>
      <w:rPr>
        <w:rFonts w:hint="eastAsia"/>
      </w:rPr>
    </w:lvl>
  </w:abstractNum>
  <w:abstractNum w:abstractNumId="2">
    <w:nsid w:val="D1795B3A"/>
    <w:multiLevelType w:val="singleLevel"/>
    <w:tmpl w:val="D1795B3A"/>
    <w:lvl w:ilvl="0" w:tentative="0">
      <w:start w:val="2"/>
      <w:numFmt w:val="decimal"/>
      <w:lvlText w:val="%1."/>
      <w:lvlJc w:val="left"/>
      <w:pPr>
        <w:tabs>
          <w:tab w:val="left" w:pos="312"/>
        </w:tabs>
      </w:pPr>
    </w:lvl>
  </w:abstractNum>
  <w:abstractNum w:abstractNumId="3">
    <w:nsid w:val="D709CCBA"/>
    <w:multiLevelType w:val="singleLevel"/>
    <w:tmpl w:val="D709CCBA"/>
    <w:lvl w:ilvl="0" w:tentative="0">
      <w:start w:val="3"/>
      <w:numFmt w:val="decimal"/>
      <w:lvlText w:val="%1."/>
      <w:lvlJc w:val="left"/>
      <w:pPr>
        <w:tabs>
          <w:tab w:val="left" w:pos="312"/>
        </w:tabs>
      </w:pPr>
    </w:lvl>
  </w:abstractNum>
  <w:abstractNum w:abstractNumId="4">
    <w:nsid w:val="F4DD4DE7"/>
    <w:multiLevelType w:val="singleLevel"/>
    <w:tmpl w:val="F4DD4DE7"/>
    <w:lvl w:ilvl="0" w:tentative="0">
      <w:start w:val="1"/>
      <w:numFmt w:val="chineseCounting"/>
      <w:suff w:val="nothing"/>
      <w:lvlText w:val="（%1）"/>
      <w:lvlJc w:val="left"/>
      <w:rPr>
        <w:rFonts w:hint="eastAsia"/>
      </w:rPr>
    </w:lvl>
  </w:abstractNum>
  <w:abstractNum w:abstractNumId="5">
    <w:nsid w:val="40C8563D"/>
    <w:multiLevelType w:val="singleLevel"/>
    <w:tmpl w:val="40C8563D"/>
    <w:lvl w:ilvl="0" w:tentative="0">
      <w:start w:val="1"/>
      <w:numFmt w:val="chineseCounting"/>
      <w:suff w:val="nothing"/>
      <w:lvlText w:val="%1、"/>
      <w:lvlJc w:val="left"/>
      <w:rPr>
        <w:rFonts w:hint="eastAsia"/>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A44"/>
    <w:rsid w:val="00665BD3"/>
    <w:rsid w:val="00944A44"/>
    <w:rsid w:val="00955772"/>
    <w:rsid w:val="00BE269D"/>
    <w:rsid w:val="00E71ED4"/>
    <w:rsid w:val="25FA2FE2"/>
    <w:rsid w:val="4C6405DB"/>
    <w:rsid w:val="58C84066"/>
    <w:rsid w:val="7B496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5">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6">
    <w:name w:val="正文 A"/>
    <w:qFormat/>
    <w:uiPriority w:val="99"/>
    <w:pPr>
      <w:spacing w:after="200" w:line="276" w:lineRule="auto"/>
    </w:pPr>
    <w:rPr>
      <w:rFonts w:ascii="Calibri" w:hAnsi="Calibri" w:eastAsia="宋体" w:cs="Calibri"/>
      <w:color w:val="000000"/>
      <w:kern w:val="0"/>
      <w:sz w:val="22"/>
      <w:szCs w:val="22"/>
      <w:u w:color="000000"/>
      <w:lang w:val="en-US" w:eastAsia="zh-CN" w:bidi="ar-SA"/>
    </w:rPr>
  </w:style>
  <w:style w:type="character" w:customStyle="1" w:styleId="7">
    <w:name w:val="标题 1 Char"/>
    <w:basedOn w:val="4"/>
    <w:link w:val="2"/>
    <w:qFormat/>
    <w:uiPriority w:val="9"/>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222</Words>
  <Characters>1267</Characters>
  <Lines>10</Lines>
  <Paragraphs>2</Paragraphs>
  <TotalTime>74</TotalTime>
  <ScaleCrop>false</ScaleCrop>
  <LinksUpToDate>false</LinksUpToDate>
  <CharactersWithSpaces>1487</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2019-07-23T09:27:00Z</dcterms:created>
  <dc:creator>Yuanjun</dc:creator>
  <cp:lastModifiedBy>冷馫澐 </cp:lastModifiedBy>
  <cp:lastPrinted>2020-05-29T06:46:00Z</cp:lastPrinted>
  <dcterms:modified xsi:type="dcterms:W3CDTF">2020-08-27T09:19:36Z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