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方正小标宋_GBK" w:eastAsia="方正小标宋_GBK"/>
          <w:sz w:val="28"/>
          <w:szCs w:val="28"/>
        </w:rPr>
      </w:pPr>
      <w:r>
        <w:rPr>
          <w:rFonts w:hint="eastAsia" w:ascii="方正小标宋_GBK" w:eastAsia="方正小标宋_GBK"/>
          <w:sz w:val="28"/>
          <w:szCs w:val="28"/>
        </w:rPr>
        <w:t>附件1：部门整体支出绩效评价报告</w:t>
      </w:r>
    </w:p>
    <w:p>
      <w:pPr>
        <w:spacing w:before="120" w:after="120" w:line="480" w:lineRule="auto"/>
        <w:jc w:val="center"/>
        <w:rPr>
          <w:rFonts w:ascii="Times New Roman" w:hAnsi="Times New Roman" w:eastAsia="黑体"/>
          <w:b/>
          <w:bCs/>
          <w:sz w:val="52"/>
          <w:szCs w:val="52"/>
        </w:rPr>
      </w:pPr>
    </w:p>
    <w:p>
      <w:pPr>
        <w:jc w:val="center"/>
        <w:rPr>
          <w:rFonts w:hint="eastAsia" w:ascii="方正小标宋简体" w:hAnsi="方正小标宋简体" w:eastAsia="方正小标宋简体" w:cs="方正小标宋简体"/>
          <w:bCs/>
          <w:sz w:val="52"/>
          <w:szCs w:val="52"/>
        </w:rPr>
      </w:pPr>
      <w:r>
        <w:rPr>
          <w:rFonts w:hint="eastAsia" w:ascii="方正小标宋简体" w:hAnsi="方正小标宋简体" w:eastAsia="方正小标宋简体" w:cs="方正小标宋简体"/>
          <w:bCs/>
          <w:sz w:val="52"/>
          <w:szCs w:val="52"/>
        </w:rPr>
        <w:t>迪庆</w:t>
      </w:r>
      <w:r>
        <w:rPr>
          <w:rFonts w:hint="eastAsia" w:ascii="方正小标宋简体" w:hAnsi="方正小标宋简体" w:eastAsia="方正小标宋简体" w:cs="方正小标宋简体"/>
          <w:bCs/>
          <w:sz w:val="52"/>
          <w:szCs w:val="52"/>
          <w:lang w:eastAsia="zh-CN"/>
        </w:rPr>
        <w:t>藏族自治</w:t>
      </w:r>
      <w:r>
        <w:rPr>
          <w:rFonts w:hint="eastAsia" w:ascii="方正小标宋简体" w:hAnsi="方正小标宋简体" w:eastAsia="方正小标宋简体" w:cs="方正小标宋简体"/>
          <w:bCs/>
          <w:sz w:val="52"/>
          <w:szCs w:val="52"/>
        </w:rPr>
        <w:t>州</w:t>
      </w:r>
      <w:r>
        <w:rPr>
          <w:rFonts w:hint="eastAsia" w:ascii="方正小标宋简体" w:hAnsi="方正小标宋简体" w:eastAsia="方正小标宋简体" w:cs="方正小标宋简体"/>
          <w:bCs/>
          <w:sz w:val="52"/>
          <w:szCs w:val="52"/>
          <w:lang w:eastAsia="zh-CN"/>
        </w:rPr>
        <w:t>农业农村局</w:t>
      </w:r>
      <w:r>
        <w:rPr>
          <w:rFonts w:hint="eastAsia" w:ascii="方正小标宋简体" w:hAnsi="方正小标宋简体" w:eastAsia="方正小标宋简体" w:cs="方正小标宋简体"/>
          <w:bCs/>
          <w:sz w:val="52"/>
          <w:szCs w:val="52"/>
        </w:rPr>
        <w:t>2019年度部门整体支出绩效自评报告</w:t>
      </w:r>
    </w:p>
    <w:p>
      <w:pPr>
        <w:spacing w:before="120" w:after="120" w:line="480" w:lineRule="auto"/>
        <w:jc w:val="center"/>
        <w:rPr>
          <w:rFonts w:ascii="Times New Roman" w:hAnsi="Times New Roman" w:eastAsia="黑体"/>
          <w:b/>
          <w:bCs/>
          <w:sz w:val="52"/>
          <w:szCs w:val="52"/>
        </w:rPr>
      </w:pPr>
    </w:p>
    <w:p>
      <w:pPr>
        <w:spacing w:before="120" w:after="120" w:line="480" w:lineRule="auto"/>
        <w:jc w:val="center"/>
        <w:rPr>
          <w:rFonts w:ascii="Times New Roman" w:hAnsi="Times New Roman"/>
          <w:b/>
          <w:bCs/>
          <w:sz w:val="44"/>
          <w:szCs w:val="44"/>
        </w:rPr>
      </w:pPr>
    </w:p>
    <w:p>
      <w:pPr>
        <w:spacing w:before="120" w:after="120" w:line="480" w:lineRule="auto"/>
        <w:jc w:val="center"/>
        <w:rPr>
          <w:rFonts w:ascii="Times New Roman" w:hAnsi="Times New Roman"/>
          <w:b/>
          <w:bCs/>
          <w:sz w:val="44"/>
          <w:szCs w:val="44"/>
        </w:rPr>
      </w:pPr>
    </w:p>
    <w:p>
      <w:pPr>
        <w:spacing w:before="120" w:after="120" w:line="480" w:lineRule="auto"/>
        <w:jc w:val="center"/>
        <w:rPr>
          <w:rFonts w:ascii="Times New Roman" w:hAnsi="Times New Roman" w:eastAsia="黑体"/>
          <w:b/>
          <w:bCs/>
          <w:sz w:val="44"/>
          <w:szCs w:val="44"/>
        </w:rPr>
      </w:pPr>
    </w:p>
    <w:p>
      <w:pPr>
        <w:adjustRightInd w:val="0"/>
        <w:snapToGrid w:val="0"/>
        <w:spacing w:line="360" w:lineRule="auto"/>
        <w:ind w:left="1260" w:leftChars="600"/>
        <w:rPr>
          <w:rFonts w:ascii="Times New Roman" w:hAnsi="Times New Roman" w:eastAsia="黑体"/>
          <w:b/>
          <w:bCs/>
          <w:sz w:val="32"/>
          <w:szCs w:val="32"/>
        </w:rPr>
      </w:pPr>
      <w:r>
        <w:rPr>
          <w:rFonts w:ascii="Times New Roman" w:hAnsi="Times New Roman" w:eastAsia="黑体" w:cs="黑体"/>
          <w:b/>
          <w:bCs/>
          <w:sz w:val="32"/>
          <w:szCs w:val="32"/>
        </w:rPr>
        <mc:AlternateContent>
          <mc:Choice Requires="wps">
            <w:drawing>
              <wp:anchor distT="0" distB="0" distL="114300" distR="114300" simplePos="0" relativeHeight="251657216" behindDoc="0" locked="0" layoutInCell="1" allowOverlap="1">
                <wp:simplePos x="0" y="0"/>
                <wp:positionH relativeFrom="column">
                  <wp:posOffset>1695450</wp:posOffset>
                </wp:positionH>
                <wp:positionV relativeFrom="paragraph">
                  <wp:posOffset>211455</wp:posOffset>
                </wp:positionV>
                <wp:extent cx="3457575" cy="0"/>
                <wp:effectExtent l="9525" t="5715" r="9525" b="13335"/>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34575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3.5pt;margin-top:16.65pt;height:0pt;width:272.25pt;z-index:251657216;mso-width-relative:page;mso-height-relative:page;" filled="f" stroked="t" coordsize="21600,21600" o:gfxdata="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YyeaXXAAAACQEAAA8AAAAAAAAA&#10;AQAgAAAAIgAAAGRycy9kb3ducmV2LnhtbFBLAQIUABQAAAAIAIdO4kDxzVfr2QEAAHADAAAOAAAA&#10;AAAAAAEAIAAAACYBAABkcnMvZTJvRG9jLnhtbFBLBQYAAAAABgAGAFkBAABxBQAAAAA=&#10;">
                <v:fill on="f" focussize="0,0"/>
                <v:stroke color="#000000" joinstyle="round"/>
                <v:imagedata o:title=""/>
                <o:lock v:ext="edit" aspectratio="f"/>
              </v:shape>
            </w:pict>
          </mc:Fallback>
        </mc:AlternateContent>
      </w:r>
      <w:r>
        <w:rPr>
          <w:rFonts w:hint="eastAsia" w:ascii="Times New Roman" w:hAnsi="Times New Roman" w:eastAsia="黑体" w:cs="黑体"/>
          <w:b/>
          <w:bCs/>
          <w:sz w:val="32"/>
          <w:szCs w:val="32"/>
        </w:rPr>
        <w:t>项目名称：</w:t>
      </w:r>
      <w:r>
        <w:rPr>
          <w:rFonts w:hint="eastAsia" w:ascii="Times New Roman" w:hAnsi="Times New Roman" w:eastAsia="黑体" w:cs="黑体"/>
          <w:b/>
          <w:bCs/>
          <w:sz w:val="32"/>
          <w:szCs w:val="32"/>
          <w:lang w:eastAsia="zh-CN"/>
        </w:rPr>
        <w:t>迪庆藏族自治州农业农村局</w:t>
      </w:r>
      <w:r>
        <w:rPr>
          <w:rFonts w:hint="eastAsia" w:ascii="Times New Roman" w:hAnsi="Times New Roman" w:eastAsia="黑体" w:cs="黑体"/>
          <w:b/>
          <w:bCs/>
          <w:sz w:val="32"/>
          <w:szCs w:val="32"/>
        </w:rPr>
        <w:t>整体支出</w:t>
      </w:r>
    </w:p>
    <w:p>
      <w:pPr>
        <w:adjustRightInd w:val="0"/>
        <w:snapToGrid w:val="0"/>
        <w:spacing w:line="360" w:lineRule="auto"/>
        <w:ind w:left="1260" w:leftChars="600"/>
        <w:rPr>
          <w:rFonts w:ascii="Times New Roman" w:hAnsi="Times New Roman" w:eastAsia="黑体" w:cs="黑体"/>
          <w:b/>
          <w:bCs/>
          <w:sz w:val="32"/>
          <w:szCs w:val="32"/>
        </w:rPr>
      </w:pPr>
      <w:r>
        <w:rPr>
          <w:rFonts w:ascii="Times New Roman" w:hAnsi="Times New Roman" w:eastAsia="黑体" w:cs="黑体"/>
          <w:b/>
          <w:bCs/>
          <w:sz w:val="32"/>
          <w:szCs w:val="32"/>
        </w:rPr>
        <mc:AlternateContent>
          <mc:Choice Requires="wps">
            <w:drawing>
              <wp:anchor distT="0" distB="0" distL="114300" distR="114300" simplePos="0" relativeHeight="251658240" behindDoc="0" locked="0" layoutInCell="1" allowOverlap="1">
                <wp:simplePos x="0" y="0"/>
                <wp:positionH relativeFrom="column">
                  <wp:posOffset>1695450</wp:posOffset>
                </wp:positionH>
                <wp:positionV relativeFrom="paragraph">
                  <wp:posOffset>217805</wp:posOffset>
                </wp:positionV>
                <wp:extent cx="3457575" cy="0"/>
                <wp:effectExtent l="9525" t="5715" r="9525" b="13335"/>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34575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3.5pt;margin-top:17.15pt;height:0pt;width:272.25pt;z-index:251658240;mso-width-relative:page;mso-height-relative:page;" filled="f" stroked="t" coordsize="21600,21600" o:gfxdata="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K/Q9w2AAAAAkBAAAPAAAAAAAA&#10;AAEAIAAAACIAAABkcnMvZG93bnJldi54bWxQSwECFAAUAAAACACHTuJA3/Eks9kBAABwAwAADgAA&#10;AAAAAAABACAAAAAnAQAAZHJzL2Uyb0RvYy54bWxQSwUGAAAAAAYABgBZAQAAcgUAAAAA&#10;">
                <v:fill on="f" focussize="0,0"/>
                <v:stroke color="#000000" joinstyle="round"/>
                <v:imagedata o:title=""/>
                <o:lock v:ext="edit" aspectratio="f"/>
              </v:shape>
            </w:pict>
          </mc:Fallback>
        </mc:AlternateContent>
      </w:r>
      <w:r>
        <w:rPr>
          <w:rFonts w:hint="eastAsia" w:ascii="Times New Roman" w:hAnsi="Times New Roman" w:eastAsia="黑体" w:cs="黑体"/>
          <w:b/>
          <w:bCs/>
          <w:sz w:val="32"/>
          <w:szCs w:val="32"/>
        </w:rPr>
        <w:t>部门名称：</w:t>
      </w:r>
      <w:r>
        <w:rPr>
          <w:rFonts w:hint="eastAsia" w:ascii="Times New Roman" w:hAnsi="Times New Roman" w:eastAsia="黑体" w:cs="黑体"/>
          <w:b/>
          <w:bCs/>
          <w:sz w:val="32"/>
          <w:szCs w:val="32"/>
          <w:lang w:eastAsia="zh-CN"/>
        </w:rPr>
        <w:t>迪庆藏族自治州农业农村局</w:t>
      </w:r>
    </w:p>
    <w:p>
      <w:pPr>
        <w:adjustRightInd w:val="0"/>
        <w:snapToGrid w:val="0"/>
        <w:spacing w:line="360" w:lineRule="auto"/>
        <w:ind w:left="1260" w:leftChars="600"/>
        <w:rPr>
          <w:rFonts w:ascii="Times New Roman" w:hAnsi="Times New Roman" w:eastAsia="黑体"/>
          <w:b/>
          <w:bCs/>
          <w:sz w:val="32"/>
          <w:szCs w:val="32"/>
        </w:rPr>
      </w:pPr>
      <w:r>
        <w:rPr>
          <w:rFonts w:ascii="Times New Roman" w:hAnsi="Times New Roman" w:eastAsia="黑体" w:cs="黑体"/>
          <w:b/>
          <w:bCs/>
          <w:sz w:val="32"/>
          <w:szCs w:val="32"/>
        </w:rPr>
        <mc:AlternateContent>
          <mc:Choice Requires="wps">
            <w:drawing>
              <wp:anchor distT="0" distB="0" distL="114300" distR="114300" simplePos="0" relativeHeight="251658240" behindDoc="0" locked="0" layoutInCell="1" allowOverlap="1">
                <wp:simplePos x="0" y="0"/>
                <wp:positionH relativeFrom="column">
                  <wp:posOffset>1695450</wp:posOffset>
                </wp:positionH>
                <wp:positionV relativeFrom="paragraph">
                  <wp:posOffset>253365</wp:posOffset>
                </wp:positionV>
                <wp:extent cx="3457575" cy="0"/>
                <wp:effectExtent l="9525" t="5715" r="9525" b="13335"/>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34575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3.5pt;margin-top:19.95pt;height:0pt;width:272.25pt;z-index:251658240;mso-width-relative:page;mso-height-relative:page;" filled="f" stroked="t" coordsize="21600,21600" o:gfxdata="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BJ+CNcAAAAJAQAADwAAAAAAAAAB&#10;ACAAAAAiAAAAZHJzL2Rvd25yZXYueG1sUEsBAhQAFAAAAAgAh07iQK21sVvYAQAAcAMAAA4AAAAA&#10;AAAAAQAgAAAAJgEAAGRycy9lMm9Eb2MueG1sUEsFBgAAAAAGAAYAWQEAAHAFAAAAAA==&#10;">
                <v:fill on="f" focussize="0,0"/>
                <v:stroke color="#000000" joinstyle="round"/>
                <v:imagedata o:title=""/>
                <o:lock v:ext="edit" aspectratio="f"/>
              </v:shape>
            </w:pict>
          </mc:Fallback>
        </mc:AlternateContent>
      </w:r>
      <w:r>
        <w:rPr>
          <w:rFonts w:hint="eastAsia" w:ascii="Times New Roman" w:hAnsi="Times New Roman" w:eastAsia="黑体" w:cs="黑体"/>
          <w:b/>
          <w:bCs/>
          <w:sz w:val="32"/>
          <w:szCs w:val="32"/>
        </w:rPr>
        <w:t>评价机构：</w:t>
      </w:r>
      <w:r>
        <w:rPr>
          <w:rFonts w:hint="eastAsia" w:ascii="Times New Roman" w:hAnsi="Times New Roman" w:eastAsia="黑体" w:cs="黑体"/>
          <w:b/>
          <w:bCs/>
          <w:sz w:val="32"/>
          <w:szCs w:val="32"/>
          <w:lang w:eastAsia="zh-CN"/>
        </w:rPr>
        <w:t>迪庆藏族自治州农业农村局</w:t>
      </w:r>
    </w:p>
    <w:p>
      <w:pPr>
        <w:spacing w:line="360" w:lineRule="auto"/>
        <w:ind w:left="1218" w:leftChars="580"/>
        <w:rPr>
          <w:rFonts w:ascii="Times New Roman" w:hAnsi="Times New Roman" w:eastAsia="黑体"/>
          <w:b/>
          <w:bCs/>
          <w:sz w:val="32"/>
          <w:szCs w:val="32"/>
        </w:rPr>
      </w:pPr>
    </w:p>
    <w:p>
      <w:pPr>
        <w:jc w:val="center"/>
        <w:rPr>
          <w:rFonts w:ascii="Times New Roman" w:hAnsi="Times New Roman" w:eastAsia="黑体" w:cs="黑体"/>
          <w:b/>
          <w:bCs/>
          <w:sz w:val="32"/>
          <w:szCs w:val="32"/>
        </w:rPr>
      </w:pPr>
      <w:r>
        <w:rPr>
          <w:rFonts w:ascii="Times New Roman" w:hAnsi="Times New Roman" w:eastAsia="黑体"/>
          <w:b/>
          <w:bCs/>
          <w:sz w:val="32"/>
          <w:szCs w:val="32"/>
        </w:rPr>
        <w:t>20</w:t>
      </w:r>
      <w:r>
        <w:rPr>
          <w:rFonts w:hint="eastAsia" w:ascii="Times New Roman" w:hAnsi="Times New Roman" w:eastAsia="黑体"/>
          <w:b/>
          <w:bCs/>
          <w:sz w:val="32"/>
          <w:szCs w:val="32"/>
          <w:lang w:val="en-US" w:eastAsia="zh-CN"/>
        </w:rPr>
        <w:t>20</w:t>
      </w:r>
      <w:r>
        <w:rPr>
          <w:rFonts w:hint="eastAsia" w:ascii="Times New Roman" w:hAnsi="Times New Roman" w:eastAsia="黑体" w:cs="黑体"/>
          <w:b/>
          <w:bCs/>
          <w:sz w:val="32"/>
          <w:szCs w:val="32"/>
        </w:rPr>
        <w:t>年</w:t>
      </w:r>
      <w:r>
        <w:rPr>
          <w:rFonts w:hint="eastAsia" w:ascii="Times New Roman" w:hAnsi="Times New Roman" w:eastAsia="黑体"/>
          <w:b/>
          <w:bCs/>
          <w:sz w:val="32"/>
          <w:szCs w:val="32"/>
          <w:lang w:val="en-US" w:eastAsia="zh-CN"/>
        </w:rPr>
        <w:t>5</w:t>
      </w:r>
      <w:r>
        <w:rPr>
          <w:rFonts w:hint="eastAsia" w:ascii="Times New Roman" w:hAnsi="Times New Roman" w:eastAsia="黑体" w:cs="黑体"/>
          <w:b/>
          <w:bCs/>
          <w:sz w:val="32"/>
          <w:szCs w:val="32"/>
        </w:rPr>
        <w:t>月</w:t>
      </w: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jc w:val="center"/>
        <w:rPr>
          <w:rFonts w:ascii="Times New Roman" w:hAnsi="Times New Roman" w:eastAsia="仿宋_GB2312"/>
          <w:b/>
          <w:bCs/>
          <w:sz w:val="28"/>
          <w:szCs w:val="28"/>
        </w:rPr>
      </w:pPr>
    </w:p>
    <w:p>
      <w:pPr>
        <w:widowControl/>
        <w:jc w:val="left"/>
        <w:rPr>
          <w:rFonts w:ascii="Times New Roman" w:hAnsi="Times New Roman" w:eastAsia="仿宋_GB2312"/>
          <w:b/>
          <w:bCs/>
          <w:sz w:val="28"/>
          <w:szCs w:val="28"/>
        </w:rPr>
        <w:sectPr>
          <w:footerReference r:id="rId3" w:type="default"/>
          <w:pgSz w:w="11906" w:h="16838"/>
          <w:pgMar w:top="1440" w:right="1800" w:bottom="1440" w:left="1800" w:header="851" w:footer="992" w:gutter="0"/>
          <w:cols w:space="425" w:num="1"/>
          <w:titlePg/>
          <w:docGrid w:type="lines" w:linePitch="312" w:charSpace="0"/>
        </w:sectPr>
      </w:pPr>
    </w:p>
    <w:p>
      <w:pPr>
        <w:pStyle w:val="11"/>
        <w:widowControl w:val="0"/>
        <w:spacing w:after="0" w:line="360" w:lineRule="auto"/>
        <w:ind w:left="420" w:leftChars="200"/>
        <w:jc w:val="both"/>
        <w:rPr>
          <w:rFonts w:hint="eastAsia" w:ascii="黑体" w:hAnsi="黑体" w:eastAsia="黑体" w:cs="黑体"/>
          <w:kern w:val="2"/>
          <w:sz w:val="32"/>
          <w:szCs w:val="32"/>
          <w:lang w:val="zh-TW" w:eastAsia="zh-TW"/>
        </w:rPr>
      </w:pPr>
      <w:r>
        <w:rPr>
          <w:rFonts w:hint="eastAsia" w:ascii="黑体" w:hAnsi="黑体" w:eastAsia="黑体" w:cs="黑体"/>
          <w:kern w:val="2"/>
          <w:sz w:val="32"/>
          <w:szCs w:val="32"/>
          <w:lang w:val="zh-TW" w:eastAsia="zh-TW"/>
        </w:rPr>
        <w:t>评价小组成员：</w:t>
      </w:r>
    </w:p>
    <w:tbl>
      <w:tblPr>
        <w:tblStyle w:val="6"/>
        <w:tblpPr w:leftFromText="180" w:rightFromText="180" w:vertAnchor="text" w:horzAnchor="margin" w:tblpX="-229" w:tblpY="72"/>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400"/>
        <w:gridCol w:w="3167"/>
        <w:gridCol w:w="1258"/>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2" w:type="dxa"/>
            <w:vAlign w:val="center"/>
          </w:tcPr>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评价小组</w:t>
            </w:r>
          </w:p>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机构职位</w:t>
            </w:r>
          </w:p>
        </w:tc>
        <w:tc>
          <w:tcPr>
            <w:tcW w:w="1400" w:type="dxa"/>
            <w:vAlign w:val="center"/>
          </w:tcPr>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姓名</w:t>
            </w:r>
          </w:p>
        </w:tc>
        <w:tc>
          <w:tcPr>
            <w:tcW w:w="3167" w:type="dxa"/>
            <w:vAlign w:val="center"/>
          </w:tcPr>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职务/职称</w:t>
            </w:r>
          </w:p>
        </w:tc>
        <w:tc>
          <w:tcPr>
            <w:tcW w:w="1258" w:type="dxa"/>
            <w:vAlign w:val="center"/>
          </w:tcPr>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所属</w:t>
            </w:r>
          </w:p>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单位/处室</w:t>
            </w:r>
          </w:p>
        </w:tc>
        <w:tc>
          <w:tcPr>
            <w:tcW w:w="1642" w:type="dxa"/>
            <w:vAlign w:val="center"/>
          </w:tcPr>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1542" w:type="dxa"/>
            <w:vAlign w:val="center"/>
          </w:tcPr>
          <w:p>
            <w:pPr>
              <w:pStyle w:val="11"/>
              <w:widowControl w:val="0"/>
              <w:spacing w:after="0" w:line="24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组长</w:t>
            </w:r>
          </w:p>
        </w:tc>
        <w:tc>
          <w:tcPr>
            <w:tcW w:w="1400" w:type="dxa"/>
          </w:tcPr>
          <w:p>
            <w:pPr>
              <w:pStyle w:val="11"/>
              <w:widowControl w:val="0"/>
              <w:spacing w:after="0" w:line="24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杨树奇</w:t>
            </w:r>
          </w:p>
        </w:tc>
        <w:tc>
          <w:tcPr>
            <w:tcW w:w="3167" w:type="dxa"/>
          </w:tcPr>
          <w:p>
            <w:pPr>
              <w:pStyle w:val="11"/>
              <w:widowControl w:val="0"/>
              <w:spacing w:after="0" w:line="24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迪庆州农业农村局局长</w:t>
            </w:r>
          </w:p>
        </w:tc>
        <w:tc>
          <w:tcPr>
            <w:tcW w:w="1258" w:type="dxa"/>
          </w:tcPr>
          <w:p>
            <w:pPr>
              <w:pStyle w:val="11"/>
              <w:widowControl w:val="0"/>
              <w:spacing w:after="0" w:line="240" w:lineRule="auto"/>
              <w:jc w:val="both"/>
              <w:rPr>
                <w:rFonts w:hint="eastAsia" w:ascii="黑体" w:hAnsi="黑体" w:eastAsia="黑体" w:cs="黑体"/>
                <w:kern w:val="2"/>
                <w:sz w:val="32"/>
                <w:szCs w:val="32"/>
                <w:lang w:val="zh-TW" w:eastAsia="zh-TW"/>
              </w:rPr>
            </w:pPr>
          </w:p>
        </w:tc>
        <w:tc>
          <w:tcPr>
            <w:tcW w:w="1642" w:type="dxa"/>
          </w:tcPr>
          <w:p>
            <w:pPr>
              <w:pStyle w:val="11"/>
              <w:widowControl w:val="0"/>
              <w:spacing w:after="0" w:line="240" w:lineRule="auto"/>
              <w:jc w:val="both"/>
              <w:rPr>
                <w:rFonts w:hint="eastAsia" w:ascii="黑体" w:hAnsi="黑体" w:eastAsia="黑体" w:cs="黑体"/>
                <w:kern w:val="2"/>
                <w:sz w:val="32"/>
                <w:szCs w:val="32"/>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2" w:type="dxa"/>
            <w:vAlign w:val="center"/>
          </w:tcPr>
          <w:p>
            <w:pPr>
              <w:pStyle w:val="11"/>
              <w:widowControl w:val="0"/>
              <w:spacing w:after="0" w:line="36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副组长</w:t>
            </w:r>
          </w:p>
        </w:tc>
        <w:tc>
          <w:tcPr>
            <w:tcW w:w="1400" w:type="dxa"/>
          </w:tcPr>
          <w:p>
            <w:pPr>
              <w:pStyle w:val="11"/>
              <w:widowControl w:val="0"/>
              <w:spacing w:after="0" w:line="36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扎都</w:t>
            </w:r>
          </w:p>
        </w:tc>
        <w:tc>
          <w:tcPr>
            <w:tcW w:w="3167" w:type="dxa"/>
          </w:tcPr>
          <w:p>
            <w:pPr>
              <w:pStyle w:val="11"/>
              <w:widowControl w:val="0"/>
              <w:spacing w:after="0" w:line="360" w:lineRule="auto"/>
              <w:jc w:val="both"/>
              <w:rPr>
                <w:rFonts w:hint="eastAsia" w:ascii="黑体" w:hAnsi="黑体" w:eastAsia="黑体" w:cs="黑体"/>
                <w:kern w:val="2"/>
                <w:sz w:val="32"/>
                <w:szCs w:val="32"/>
                <w:lang w:val="zh-TW" w:eastAsia="zh-TW"/>
              </w:rPr>
            </w:pPr>
            <w:r>
              <w:rPr>
                <w:rFonts w:hint="eastAsia" w:ascii="黑体" w:hAnsi="黑体" w:eastAsia="黑体" w:cs="黑体"/>
                <w:kern w:val="2"/>
                <w:sz w:val="32"/>
                <w:szCs w:val="32"/>
                <w:lang w:val="zh-TW" w:eastAsia="zh-CN"/>
              </w:rPr>
              <w:t>迪庆州农业农村局副局长</w:t>
            </w:r>
          </w:p>
        </w:tc>
        <w:tc>
          <w:tcPr>
            <w:tcW w:w="1258" w:type="dxa"/>
          </w:tcPr>
          <w:p>
            <w:pPr>
              <w:pStyle w:val="11"/>
              <w:widowControl w:val="0"/>
              <w:spacing w:after="0" w:line="360" w:lineRule="auto"/>
              <w:jc w:val="both"/>
              <w:rPr>
                <w:rFonts w:hint="eastAsia" w:ascii="黑体" w:hAnsi="黑体" w:eastAsia="黑体" w:cs="黑体"/>
                <w:kern w:val="2"/>
                <w:sz w:val="32"/>
                <w:szCs w:val="32"/>
                <w:lang w:val="zh-TW" w:eastAsia="zh-TW"/>
              </w:rPr>
            </w:pPr>
          </w:p>
        </w:tc>
        <w:tc>
          <w:tcPr>
            <w:tcW w:w="1642" w:type="dxa"/>
          </w:tcPr>
          <w:p>
            <w:pPr>
              <w:pStyle w:val="11"/>
              <w:widowControl w:val="0"/>
              <w:spacing w:after="0" w:line="360" w:lineRule="auto"/>
              <w:jc w:val="both"/>
              <w:rPr>
                <w:rFonts w:hint="eastAsia" w:ascii="黑体" w:hAnsi="黑体" w:eastAsia="黑体" w:cs="黑体"/>
                <w:kern w:val="2"/>
                <w:sz w:val="32"/>
                <w:szCs w:val="32"/>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2" w:type="dxa"/>
            <w:vAlign w:val="center"/>
          </w:tcPr>
          <w:p>
            <w:pPr>
              <w:pStyle w:val="11"/>
              <w:widowControl w:val="0"/>
              <w:spacing w:after="0" w:line="36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成员</w:t>
            </w:r>
          </w:p>
        </w:tc>
        <w:tc>
          <w:tcPr>
            <w:tcW w:w="1400" w:type="dxa"/>
          </w:tcPr>
          <w:p>
            <w:pPr>
              <w:pStyle w:val="11"/>
              <w:widowControl w:val="0"/>
              <w:spacing w:after="0" w:line="36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李锦华</w:t>
            </w:r>
          </w:p>
        </w:tc>
        <w:tc>
          <w:tcPr>
            <w:tcW w:w="3167" w:type="dxa"/>
          </w:tcPr>
          <w:p>
            <w:pPr>
              <w:pStyle w:val="11"/>
              <w:widowControl w:val="0"/>
              <w:spacing w:after="0" w:line="36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计划财务科科长</w:t>
            </w:r>
          </w:p>
        </w:tc>
        <w:tc>
          <w:tcPr>
            <w:tcW w:w="1258" w:type="dxa"/>
          </w:tcPr>
          <w:p>
            <w:pPr>
              <w:pStyle w:val="11"/>
              <w:widowControl w:val="0"/>
              <w:spacing w:after="0" w:line="360" w:lineRule="auto"/>
              <w:jc w:val="both"/>
              <w:rPr>
                <w:rFonts w:hint="eastAsia" w:ascii="黑体" w:hAnsi="黑体" w:eastAsia="黑体" w:cs="黑体"/>
                <w:kern w:val="2"/>
                <w:sz w:val="32"/>
                <w:szCs w:val="32"/>
                <w:lang w:val="zh-TW" w:eastAsia="zh-TW"/>
              </w:rPr>
            </w:pPr>
          </w:p>
        </w:tc>
        <w:tc>
          <w:tcPr>
            <w:tcW w:w="1642" w:type="dxa"/>
          </w:tcPr>
          <w:p>
            <w:pPr>
              <w:pStyle w:val="11"/>
              <w:widowControl w:val="0"/>
              <w:spacing w:after="0" w:line="360" w:lineRule="auto"/>
              <w:jc w:val="both"/>
              <w:rPr>
                <w:rFonts w:hint="eastAsia" w:ascii="黑体" w:hAnsi="黑体" w:eastAsia="黑体" w:cs="黑体"/>
                <w:kern w:val="2"/>
                <w:sz w:val="32"/>
                <w:szCs w:val="32"/>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2" w:type="dxa"/>
            <w:vAlign w:val="center"/>
          </w:tcPr>
          <w:p>
            <w:pPr>
              <w:pStyle w:val="11"/>
              <w:widowControl w:val="0"/>
              <w:spacing w:after="0" w:line="360" w:lineRule="auto"/>
              <w:jc w:val="center"/>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w:t>
            </w:r>
          </w:p>
        </w:tc>
        <w:tc>
          <w:tcPr>
            <w:tcW w:w="1400" w:type="dxa"/>
          </w:tcPr>
          <w:p>
            <w:pPr>
              <w:pStyle w:val="11"/>
              <w:widowControl w:val="0"/>
              <w:spacing w:after="0" w:line="36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杨中雄</w:t>
            </w:r>
          </w:p>
        </w:tc>
        <w:tc>
          <w:tcPr>
            <w:tcW w:w="3167" w:type="dxa"/>
          </w:tcPr>
          <w:p>
            <w:pPr>
              <w:pStyle w:val="11"/>
              <w:widowControl w:val="0"/>
              <w:spacing w:after="0" w:line="36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迪庆州农业信息与农民技能提升中心主任、高级农艺师</w:t>
            </w:r>
          </w:p>
        </w:tc>
        <w:tc>
          <w:tcPr>
            <w:tcW w:w="1258" w:type="dxa"/>
          </w:tcPr>
          <w:p>
            <w:pPr>
              <w:pStyle w:val="11"/>
              <w:widowControl w:val="0"/>
              <w:spacing w:after="0" w:line="360" w:lineRule="auto"/>
              <w:jc w:val="both"/>
              <w:rPr>
                <w:rFonts w:hint="eastAsia" w:ascii="黑体" w:hAnsi="黑体" w:eastAsia="黑体" w:cs="黑体"/>
                <w:kern w:val="2"/>
                <w:sz w:val="32"/>
                <w:szCs w:val="32"/>
                <w:lang w:val="zh-TW" w:eastAsia="zh-TW"/>
              </w:rPr>
            </w:pPr>
          </w:p>
        </w:tc>
        <w:tc>
          <w:tcPr>
            <w:tcW w:w="1642" w:type="dxa"/>
          </w:tcPr>
          <w:p>
            <w:pPr>
              <w:pStyle w:val="11"/>
              <w:widowControl w:val="0"/>
              <w:spacing w:after="0" w:line="360" w:lineRule="auto"/>
              <w:jc w:val="both"/>
              <w:rPr>
                <w:rFonts w:hint="eastAsia" w:ascii="黑体" w:hAnsi="黑体" w:eastAsia="黑体" w:cs="黑体"/>
                <w:kern w:val="2"/>
                <w:sz w:val="32"/>
                <w:szCs w:val="32"/>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2" w:type="dxa"/>
            <w:vAlign w:val="center"/>
          </w:tcPr>
          <w:p>
            <w:pPr>
              <w:pStyle w:val="11"/>
              <w:widowControl w:val="0"/>
              <w:spacing w:after="0" w:line="360" w:lineRule="auto"/>
              <w:jc w:val="center"/>
              <w:rPr>
                <w:rFonts w:hint="eastAsia" w:ascii="黑体" w:hAnsi="黑体" w:eastAsia="黑体" w:cs="黑体"/>
                <w:kern w:val="2"/>
                <w:sz w:val="32"/>
                <w:szCs w:val="32"/>
                <w:lang w:val="zh-TW"/>
              </w:rPr>
            </w:pPr>
          </w:p>
        </w:tc>
        <w:tc>
          <w:tcPr>
            <w:tcW w:w="1400" w:type="dxa"/>
          </w:tcPr>
          <w:p>
            <w:pPr>
              <w:pStyle w:val="11"/>
              <w:widowControl w:val="0"/>
              <w:spacing w:after="0" w:line="36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李光明</w:t>
            </w:r>
          </w:p>
        </w:tc>
        <w:tc>
          <w:tcPr>
            <w:tcW w:w="3167" w:type="dxa"/>
          </w:tcPr>
          <w:p>
            <w:pPr>
              <w:pStyle w:val="11"/>
              <w:widowControl w:val="0"/>
              <w:spacing w:after="0" w:line="360" w:lineRule="auto"/>
              <w:jc w:val="both"/>
              <w:rPr>
                <w:rFonts w:hint="eastAsia" w:ascii="黑体" w:hAnsi="黑体" w:eastAsia="黑体" w:cs="黑体"/>
                <w:kern w:val="2"/>
                <w:sz w:val="32"/>
                <w:szCs w:val="32"/>
                <w:lang w:val="zh-TW" w:eastAsia="zh-CN"/>
              </w:rPr>
            </w:pPr>
            <w:r>
              <w:rPr>
                <w:rFonts w:hint="eastAsia" w:ascii="黑体" w:hAnsi="黑体" w:eastAsia="黑体" w:cs="黑体"/>
                <w:kern w:val="2"/>
                <w:sz w:val="32"/>
                <w:szCs w:val="32"/>
                <w:lang w:val="zh-TW" w:eastAsia="zh-CN"/>
              </w:rPr>
              <w:t>迪庆州农业环境监测站站长、高级农艺师</w:t>
            </w:r>
          </w:p>
        </w:tc>
        <w:tc>
          <w:tcPr>
            <w:tcW w:w="1258" w:type="dxa"/>
          </w:tcPr>
          <w:p>
            <w:pPr>
              <w:pStyle w:val="11"/>
              <w:widowControl w:val="0"/>
              <w:spacing w:after="0" w:line="360" w:lineRule="auto"/>
              <w:jc w:val="both"/>
              <w:rPr>
                <w:rFonts w:hint="eastAsia" w:ascii="黑体" w:hAnsi="黑体" w:eastAsia="黑体" w:cs="黑体"/>
                <w:kern w:val="2"/>
                <w:sz w:val="32"/>
                <w:szCs w:val="32"/>
                <w:lang w:val="zh-TW" w:eastAsia="zh-TW"/>
              </w:rPr>
            </w:pPr>
          </w:p>
        </w:tc>
        <w:tc>
          <w:tcPr>
            <w:tcW w:w="1642" w:type="dxa"/>
          </w:tcPr>
          <w:p>
            <w:pPr>
              <w:pStyle w:val="11"/>
              <w:widowControl w:val="0"/>
              <w:spacing w:after="0" w:line="360" w:lineRule="auto"/>
              <w:jc w:val="both"/>
              <w:rPr>
                <w:rFonts w:hint="eastAsia" w:ascii="黑体" w:hAnsi="黑体" w:eastAsia="黑体" w:cs="黑体"/>
                <w:kern w:val="2"/>
                <w:sz w:val="32"/>
                <w:szCs w:val="32"/>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9009" w:type="dxa"/>
            <w:gridSpan w:val="5"/>
          </w:tcPr>
          <w:p>
            <w:pPr>
              <w:pStyle w:val="11"/>
              <w:widowControl w:val="0"/>
              <w:spacing w:after="0" w:line="360" w:lineRule="auto"/>
              <w:jc w:val="both"/>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报告撰写人（签字）：</w:t>
            </w:r>
          </w:p>
          <w:p>
            <w:pPr>
              <w:pStyle w:val="11"/>
              <w:widowControl w:val="0"/>
              <w:spacing w:after="0" w:line="360" w:lineRule="auto"/>
              <w:jc w:val="both"/>
              <w:rPr>
                <w:rFonts w:hint="eastAsia" w:ascii="黑体" w:hAnsi="黑体" w:eastAsia="黑体" w:cs="黑体"/>
                <w:kern w:val="2"/>
                <w:sz w:val="32"/>
                <w:szCs w:val="32"/>
                <w:lang w:val="zh-TW"/>
              </w:rPr>
            </w:pPr>
          </w:p>
          <w:p>
            <w:pPr>
              <w:pStyle w:val="11"/>
              <w:widowControl w:val="0"/>
              <w:spacing w:after="0" w:line="360" w:lineRule="auto"/>
              <w:jc w:val="both"/>
              <w:rPr>
                <w:rFonts w:hint="eastAsia" w:ascii="黑体" w:hAnsi="黑体" w:eastAsia="黑体" w:cs="黑体"/>
                <w:kern w:val="2"/>
                <w:sz w:val="32"/>
                <w:szCs w:val="32"/>
                <w:lang w:val="zh-TW"/>
              </w:rPr>
            </w:pPr>
          </w:p>
          <w:p>
            <w:pPr>
              <w:pStyle w:val="11"/>
              <w:widowControl w:val="0"/>
              <w:wordWrap w:val="0"/>
              <w:spacing w:after="0" w:line="360" w:lineRule="auto"/>
              <w:jc w:val="right"/>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1" w:hRule="atLeast"/>
        </w:trPr>
        <w:tc>
          <w:tcPr>
            <w:tcW w:w="9009" w:type="dxa"/>
            <w:gridSpan w:val="5"/>
          </w:tcPr>
          <w:p>
            <w:pPr>
              <w:pStyle w:val="11"/>
              <w:widowControl w:val="0"/>
              <w:spacing w:after="0" w:line="360" w:lineRule="auto"/>
              <w:jc w:val="both"/>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评价工作负责人（签字）：</w:t>
            </w:r>
          </w:p>
          <w:p>
            <w:pPr>
              <w:pStyle w:val="11"/>
              <w:widowControl w:val="0"/>
              <w:spacing w:after="0" w:line="360" w:lineRule="auto"/>
              <w:jc w:val="both"/>
              <w:rPr>
                <w:rFonts w:hint="eastAsia" w:ascii="黑体" w:hAnsi="黑体" w:eastAsia="黑体" w:cs="黑体"/>
                <w:kern w:val="2"/>
                <w:sz w:val="32"/>
                <w:szCs w:val="32"/>
                <w:lang w:val="zh-TW"/>
              </w:rPr>
            </w:pPr>
          </w:p>
          <w:p>
            <w:pPr>
              <w:pStyle w:val="11"/>
              <w:widowControl w:val="0"/>
              <w:spacing w:after="0" w:line="360" w:lineRule="auto"/>
              <w:jc w:val="both"/>
              <w:rPr>
                <w:rFonts w:hint="eastAsia" w:ascii="黑体" w:hAnsi="黑体" w:eastAsia="黑体" w:cs="黑体"/>
                <w:kern w:val="2"/>
                <w:sz w:val="32"/>
                <w:szCs w:val="32"/>
                <w:lang w:val="zh-TW"/>
              </w:rPr>
            </w:pPr>
          </w:p>
          <w:p>
            <w:pPr>
              <w:pStyle w:val="11"/>
              <w:widowControl w:val="0"/>
              <w:wordWrap w:val="0"/>
              <w:spacing w:after="0" w:line="360" w:lineRule="auto"/>
              <w:jc w:val="right"/>
              <w:rPr>
                <w:rFonts w:hint="eastAsia" w:ascii="黑体" w:hAnsi="黑体" w:eastAsia="黑体" w:cs="黑体"/>
                <w:kern w:val="2"/>
                <w:sz w:val="32"/>
                <w:szCs w:val="32"/>
                <w:lang w:val="zh-TW"/>
              </w:rPr>
            </w:pPr>
            <w:r>
              <w:rPr>
                <w:rFonts w:hint="eastAsia" w:ascii="黑体" w:hAnsi="黑体" w:eastAsia="黑体" w:cs="黑体"/>
                <w:kern w:val="2"/>
                <w:sz w:val="32"/>
                <w:szCs w:val="32"/>
                <w:lang w:val="zh-TW"/>
              </w:rPr>
              <w:t>年  月  日</w:t>
            </w:r>
          </w:p>
        </w:tc>
      </w:tr>
    </w:tbl>
    <w:p>
      <w:pPr>
        <w:pStyle w:val="11"/>
        <w:widowControl w:val="0"/>
        <w:spacing w:after="0" w:line="360" w:lineRule="auto"/>
        <w:ind w:firstLine="755" w:firstLineChars="236"/>
        <w:jc w:val="both"/>
        <w:rPr>
          <w:rFonts w:hint="eastAsia" w:ascii="黑体" w:hAnsi="黑体" w:eastAsia="黑体" w:cs="黑体"/>
          <w:kern w:val="2"/>
          <w:sz w:val="32"/>
          <w:szCs w:val="32"/>
          <w:lang w:val="zh-TW" w:eastAsia="zh-TW"/>
        </w:rPr>
      </w:pPr>
    </w:p>
    <w:p>
      <w:pPr>
        <w:pStyle w:val="11"/>
        <w:widowControl w:val="0"/>
        <w:spacing w:after="0" w:line="360" w:lineRule="auto"/>
        <w:jc w:val="both"/>
        <w:rPr>
          <w:rFonts w:hint="eastAsia" w:ascii="黑体" w:hAnsi="黑体" w:eastAsia="黑体" w:cs="黑体"/>
          <w:kern w:val="2"/>
          <w:sz w:val="32"/>
          <w:szCs w:val="32"/>
          <w:lang w:val="zh-TW"/>
        </w:rPr>
        <w:sectPr>
          <w:pgSz w:w="11906" w:h="16838"/>
          <w:pgMar w:top="1440" w:right="1800" w:bottom="1440" w:left="1800" w:header="851" w:footer="992" w:gutter="0"/>
          <w:cols w:space="425" w:num="1"/>
          <w:docGrid w:type="lines" w:linePitch="312" w:charSpace="0"/>
        </w:sectPr>
      </w:pPr>
    </w:p>
    <w:p>
      <w:pPr>
        <w:pStyle w:val="10"/>
        <w:jc w:val="center"/>
        <w:rPr>
          <w:rFonts w:hint="eastAsia" w:ascii="黑体" w:hAnsi="黑体" w:eastAsia="黑体" w:cs="黑体"/>
          <w:b w:val="0"/>
          <w:color w:val="auto"/>
          <w:sz w:val="32"/>
          <w:szCs w:val="32"/>
        </w:rPr>
      </w:pPr>
      <w:r>
        <w:rPr>
          <w:rFonts w:hint="eastAsia" w:ascii="黑体" w:hAnsi="黑体" w:eastAsia="黑体" w:cs="黑体"/>
          <w:b w:val="0"/>
          <w:color w:val="auto"/>
          <w:sz w:val="32"/>
          <w:szCs w:val="32"/>
          <w:lang w:val="zh-CN"/>
        </w:rPr>
        <w:t>目录</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一、摘要</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二、部门概况</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（一）部门机构设置、编制</w:t>
      </w:r>
      <w:r>
        <w:rPr>
          <w:rFonts w:hint="eastAsia" w:ascii="黑体" w:hAnsi="黑体" w:eastAsia="黑体" w:cs="黑体"/>
          <w:sz w:val="32"/>
          <w:szCs w:val="32"/>
        </w:rPr>
        <w:tab/>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（二）部门职能</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（三）部门工作完成情况</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 xml:space="preserve">（四）部门管理制度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（五）部门资金来源及使用情况</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 xml:space="preserve">（六）政府采购情况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（七）固定资产情况</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三、绩效目标</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四、评价思路和过程</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（一）评价思路</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（二）评价目的</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（三）评价依据</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（四）评价对象及评价时段</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五、评价结论和绩效分析</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（一）评价结论</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（二）具体绩效分析</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六、主要经验做法</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七、存在的问题</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八、改进措施及建议</w:t>
      </w:r>
      <w:r>
        <w:rPr>
          <w:rFonts w:hint="eastAsia" w:ascii="黑体" w:hAnsi="黑体" w:eastAsia="黑体" w:cs="黑体"/>
          <w:sz w:val="32"/>
          <w:szCs w:val="32"/>
        </w:rPr>
        <w:tab/>
      </w:r>
      <w:r>
        <w:rPr>
          <w:rFonts w:hint="eastAsia" w:ascii="黑体" w:hAnsi="黑体" w:eastAsia="黑体" w:cs="黑体"/>
          <w:sz w:val="32"/>
          <w:szCs w:val="32"/>
        </w:rPr>
        <w:t xml:space="preserve"> </w:t>
      </w:r>
    </w:p>
    <w:p>
      <w:pPr>
        <w:spacing w:line="400" w:lineRule="exact"/>
        <w:ind w:firstLine="420" w:firstLineChars="200"/>
        <w:jc w:val="left"/>
        <w:rPr>
          <w:rFonts w:ascii="黑体" w:hAnsi="黑体" w:eastAsia="黑体"/>
          <w:szCs w:val="32"/>
        </w:rPr>
      </w:pPr>
    </w:p>
    <w:p>
      <w:pPr>
        <w:spacing w:line="600" w:lineRule="exact"/>
        <w:ind w:firstLine="420" w:firstLineChars="200"/>
        <w:jc w:val="center"/>
        <w:rPr>
          <w:rFonts w:ascii="方正小标宋_GBK" w:hAnsi="黑体" w:eastAsia="方正小标宋_GBK"/>
          <w:szCs w:val="32"/>
        </w:rPr>
      </w:pPr>
    </w:p>
    <w:p>
      <w:pPr>
        <w:pStyle w:val="2"/>
        <w:rPr>
          <w:rFonts w:ascii="方正小标宋_GBK" w:hAnsi="黑体" w:eastAsia="方正小标宋_GBK"/>
          <w:szCs w:val="32"/>
        </w:rPr>
      </w:pPr>
    </w:p>
    <w:p>
      <w:pPr>
        <w:pStyle w:val="2"/>
        <w:rPr>
          <w:rFonts w:ascii="方正小标宋_GBK" w:hAnsi="黑体" w:eastAsia="方正小标宋_GBK"/>
          <w:szCs w:val="32"/>
        </w:rPr>
      </w:pPr>
    </w:p>
    <w:p>
      <w:pPr>
        <w:pStyle w:val="2"/>
        <w:rPr>
          <w:rFonts w:ascii="方正小标宋_GBK" w:hAnsi="黑体" w:eastAsia="方正小标宋_GBK"/>
          <w:szCs w:val="32"/>
        </w:rPr>
      </w:pPr>
    </w:p>
    <w:p>
      <w:pPr>
        <w:pStyle w:val="2"/>
        <w:rPr>
          <w:rFonts w:ascii="方正小标宋_GBK" w:hAnsi="黑体" w:eastAsia="方正小标宋_GBK"/>
          <w:szCs w:val="32"/>
        </w:rPr>
      </w:pPr>
    </w:p>
    <w:p>
      <w:pPr>
        <w:pStyle w:val="2"/>
        <w:ind w:left="0" w:leftChars="0" w:firstLine="0" w:firstLineChars="0"/>
        <w:rPr>
          <w:rFonts w:ascii="方正小标宋_GBK" w:hAnsi="黑体" w:eastAsia="方正小标宋_GBK"/>
          <w:szCs w:val="32"/>
        </w:rPr>
      </w:pPr>
    </w:p>
    <w:p>
      <w:pPr>
        <w:spacing w:line="520" w:lineRule="exact"/>
        <w:ind w:firstLine="880" w:firstLineChars="2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迪庆</w:t>
      </w:r>
      <w:r>
        <w:rPr>
          <w:rFonts w:hint="eastAsia" w:ascii="方正小标宋简体" w:hAnsi="方正小标宋简体" w:eastAsia="方正小标宋简体" w:cs="方正小标宋简体"/>
          <w:sz w:val="44"/>
          <w:szCs w:val="44"/>
          <w:lang w:eastAsia="zh-CN"/>
        </w:rPr>
        <w:t>藏族自治</w:t>
      </w:r>
      <w:r>
        <w:rPr>
          <w:rFonts w:hint="eastAsia" w:ascii="方正小标宋简体" w:hAnsi="方正小标宋简体" w:eastAsia="方正小标宋简体" w:cs="方正小标宋简体"/>
          <w:sz w:val="44"/>
          <w:szCs w:val="44"/>
        </w:rPr>
        <w:t>州</w:t>
      </w:r>
      <w:r>
        <w:rPr>
          <w:rFonts w:hint="eastAsia" w:ascii="方正小标宋简体" w:hAnsi="方正小标宋简体" w:eastAsia="方正小标宋简体" w:cs="方正小标宋简体"/>
          <w:sz w:val="44"/>
          <w:szCs w:val="44"/>
          <w:lang w:eastAsia="zh-CN"/>
        </w:rPr>
        <w:t>农业农村局</w:t>
      </w:r>
      <w:r>
        <w:rPr>
          <w:rFonts w:hint="eastAsia" w:ascii="方正小标宋简体" w:hAnsi="方正小标宋简体" w:eastAsia="方正小标宋简体" w:cs="方正小标宋简体"/>
          <w:sz w:val="44"/>
          <w:szCs w:val="44"/>
        </w:rPr>
        <w:t>2019年度部门整体支出绩效自评报告</w:t>
      </w:r>
    </w:p>
    <w:p>
      <w:pPr>
        <w:spacing w:line="520" w:lineRule="exact"/>
        <w:ind w:firstLine="880" w:firstLineChars="200"/>
        <w:jc w:val="center"/>
        <w:rPr>
          <w:rFonts w:hint="eastAsia" w:ascii="方正小标宋简体" w:hAnsi="方正小标宋简体" w:eastAsia="方正小标宋简体" w:cs="方正小标宋简体"/>
          <w:sz w:val="44"/>
          <w:szCs w:val="44"/>
        </w:rPr>
      </w:pPr>
    </w:p>
    <w:p>
      <w:pPr>
        <w:spacing w:line="520" w:lineRule="exact"/>
        <w:ind w:firstLine="640" w:firstLineChars="200"/>
        <w:jc w:val="center"/>
        <w:rPr>
          <w:rFonts w:hint="eastAsia" w:ascii="方正小标宋_GBK" w:hAnsi="黑体" w:eastAsia="方正小标宋_GBK"/>
          <w:sz w:val="32"/>
          <w:szCs w:val="32"/>
        </w:rPr>
      </w:pPr>
      <w:r>
        <w:rPr>
          <w:rFonts w:hint="eastAsia" w:ascii="方正小标宋_GBK" w:hAnsi="黑体" w:eastAsia="方正小标宋_GBK"/>
          <w:sz w:val="32"/>
          <w:szCs w:val="32"/>
        </w:rPr>
        <w:t>摘要（2000字以内）</w:t>
      </w:r>
    </w:p>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迪庆州农业农村局在2019年的工作中严格遵照州人民政府、州财政局要求流程对部门支出进行预算、申报并制定相应的绩效目标，有针对性的制定项目实施计划。根据</w:t>
      </w:r>
      <w:r>
        <w:rPr>
          <w:rFonts w:hint="eastAsia" w:ascii="仿宋_GB2312" w:hAnsi="仿宋_GB2312" w:eastAsia="仿宋_GB2312" w:cs="仿宋_GB2312"/>
          <w:color w:val="000000"/>
          <w:kern w:val="0"/>
          <w:sz w:val="32"/>
          <w:szCs w:val="32"/>
        </w:rPr>
        <w:t>《关于印发〈201</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年度政府</w:t>
      </w:r>
      <w:r>
        <w:rPr>
          <w:rFonts w:hint="eastAsia" w:ascii="仿宋_GB2312" w:hAnsi="仿宋_GB2312" w:eastAsia="仿宋_GB2312" w:cs="仿宋_GB2312"/>
          <w:color w:val="000000"/>
          <w:kern w:val="0"/>
          <w:sz w:val="32"/>
          <w:szCs w:val="32"/>
          <w:lang w:eastAsia="zh-CN"/>
        </w:rPr>
        <w:t>部门</w:t>
      </w:r>
      <w:r>
        <w:rPr>
          <w:rFonts w:hint="eastAsia" w:ascii="仿宋_GB2312" w:hAnsi="仿宋_GB2312" w:eastAsia="仿宋_GB2312" w:cs="仿宋_GB2312"/>
          <w:color w:val="000000"/>
          <w:kern w:val="0"/>
          <w:sz w:val="32"/>
          <w:szCs w:val="32"/>
        </w:rPr>
        <w:t>目标督查管理工作目标及考核办法〉的通知》（迪目督办发〔201</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rPr>
        <w:t>号）</w:t>
      </w:r>
      <w:r>
        <w:rPr>
          <w:rFonts w:hint="eastAsia" w:ascii="仿宋_GB2312" w:hAnsi="仿宋_GB2312" w:eastAsia="仿宋_GB2312" w:cs="仿宋_GB2312"/>
          <w:color w:val="000000"/>
          <w:kern w:val="0"/>
          <w:sz w:val="32"/>
          <w:szCs w:val="32"/>
          <w:lang w:eastAsia="zh-CN"/>
        </w:rPr>
        <w:t>文件精神对本部门</w:t>
      </w:r>
      <w:r>
        <w:rPr>
          <w:rFonts w:hint="eastAsia" w:ascii="仿宋_GB2312" w:hAnsi="仿宋_GB2312" w:eastAsia="仿宋_GB2312" w:cs="仿宋_GB2312"/>
          <w:color w:val="000000"/>
          <w:kern w:val="0"/>
          <w:sz w:val="32"/>
          <w:szCs w:val="32"/>
          <w:lang w:val="en-US" w:eastAsia="zh-CN"/>
        </w:rPr>
        <w:t>2019年度部门整体支出绩效进行自评。较好地完成了</w:t>
      </w:r>
      <w:r>
        <w:rPr>
          <w:rFonts w:hint="eastAsia" w:ascii="仿宋_GB2312" w:hAnsi="仿宋_GB2312" w:eastAsia="仿宋_GB2312" w:cs="仿宋_GB2312"/>
          <w:sz w:val="32"/>
          <w:szCs w:val="32"/>
          <w:lang w:val="en-US" w:eastAsia="zh-CN"/>
        </w:rPr>
        <w:t>指导督促全州完成农业总产值增长6%，达到18.232亿元（不含林业产业），指导督促全州完成农村常住居民人均可支配收入增长12%，达到7939元，指导督促全州完成粮食总产量18万吨，指导督促全州完成大小牲畜出栏50万头只，肉类产量3万吨等绩效目标，取得了优异的成绩。</w:t>
      </w:r>
    </w:p>
    <w:p>
      <w:pPr>
        <w:numPr>
          <w:ilvl w:val="0"/>
          <w:numId w:val="1"/>
        </w:numPr>
        <w:spacing w:line="52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要职能职责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迪庆州</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rPr>
        <w:t>成立于1978年，是直属于州政府的一个职能部门，负责全州的</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生产与发展。其下属单位</w:t>
      </w:r>
      <w:r>
        <w:rPr>
          <w:rFonts w:hint="eastAsia" w:ascii="仿宋_GB2312" w:hAnsi="仿宋_GB2312" w:eastAsia="仿宋_GB2312" w:cs="仿宋_GB2312"/>
          <w:sz w:val="32"/>
          <w:szCs w:val="32"/>
          <w:lang w:eastAsia="zh-CN"/>
        </w:rPr>
        <w:t>迪庆州农业信息与农民技能提升服务中心和迪庆州农业环境保护监测站</w:t>
      </w:r>
      <w:r>
        <w:rPr>
          <w:rFonts w:hint="eastAsia" w:ascii="仿宋_GB2312" w:hAnsi="仿宋_GB2312" w:eastAsia="仿宋_GB2312" w:cs="仿宋_GB2312"/>
          <w:sz w:val="32"/>
          <w:szCs w:val="32"/>
        </w:rPr>
        <w:t>为全额拨款事业单位，有独立编制但财务不独立核算，并入农牧局统一核算，该单位负责全州的农村劳动力输出培训</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全州范围农业环境和农产品质量安全的监测、评价及相关法规和管理培训。</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年度重点工作：贯彻执行国家有关农村经济、种植业、畜牧业、渔业、农业机械化、乡镇企业等农业各产业的法律法规以及党和政府有.关农业和农村经济的战略方针，重大经济政策，技术政策和产业政策，结合我州实际，制定实施办法，经批准后组织实施。</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指导全州农村经济体制改革，组织实施国家农村经济体制改革方案;指导农村经济组织的建设与发展;指导农村联产承包责任制和双层经营体制的稳定和完善;指导农村承包合同管理;负责减轻农民负担工作的监督管理;指导全州农村集体经济的经营管理和生态农业建设。</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研究拟定全州农业产业政策，引导农业产业结构调整;研究制定我州农业产业化经营的发展规划及相关政策，推进农业产前、产中、产后一体化，促进农业向布局区域化、生产专业化、产品商品化，服务社会化方向发展。</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编制全州种植业、畜牧业、渔业、农业机械化和乡镇企业的中长期发展规划、区域开发计划、年度发展计划，经批准后  组织实施;负责全州种植业、畜牧业、渔业、农业机械化和乡镇企业的结构布局调整、资源配置以及产业间和全州农业基础设施建设的综合平衡;调控和管理全州各项农业发展资金。</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制定全州农业教育、科技推广和队伍建设的发展规划、  政策和措施，实施科教兴农战略;组织重大科技项目攻关和重大科技成果的鉴定、推广;指导和协调全州农业社会化服务体系建设:负责局属单位目标责任、领导干部和科技人员的管理。</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负责全州农业资源区划、农业环境保护监测、生态农业建设和农业可持续发展工作;按分工负责农业资源、畜牧业资源、渔业资源的保护和综合利用;依法或根据授权负责农用地、农作物资源、畜牧业资源、渔业水域及鱼资源的保护与管理;规划指导高产稳产农田基本建设。</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与研究制定农畜产品、农业生产资料的价格政策、农村信贷政策、农村税收与补贴政策;研究农村市场的发展方向和指导措施;组织协调农、牧、渔产品加工与流通;研究提出农用生产资料的年度计划和中长期需求计划;</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负责农村经济信息统计和农产品市场、农业生产情况等信息工作，指导全州农业信息系统建设，负责全州农产品及农业生产资料供求情祝等农村经济信息的预测预报。</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与和协调有关部门制定农产品和农业生产资料的技术标准,组织监督农业万面的国家、行业标准羽买拖:负责绿色食品的开发和管理工作;负责农产品和农、牧、渔新品种、化肥、农药、兽药、饲料等的质量监测、鉴定、检查和监督管理工作,负责组织实施动植物卫生监督、检疫工作。</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负责全州农机技术推广管理工作;指导全州农机化培训教育工作;负责全州农机安全监理、种子、化肥、农药、兽药、饲料、渔政等行政执法工作。</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组织协调农业部门内部改革，指导全州农业部门强化服务宗旨;归口管理局属站、所、校;指导行业学会、协会开展工作。</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完成州委、州政府和上级机关交办的其它事项。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预算收支总额</w:t>
      </w:r>
      <w:r>
        <w:rPr>
          <w:rFonts w:hint="eastAsia" w:ascii="仿宋_GB2312" w:hAnsi="仿宋_GB2312" w:eastAsia="仿宋_GB2312" w:cs="仿宋_GB2312"/>
          <w:sz w:val="32"/>
          <w:szCs w:val="32"/>
          <w:lang w:eastAsia="zh-CN"/>
        </w:rPr>
        <w:t>：预算收入</w:t>
      </w:r>
      <w:r>
        <w:rPr>
          <w:rFonts w:hint="eastAsia" w:ascii="仿宋_GB2312" w:hAnsi="仿宋_GB2312" w:eastAsia="仿宋_GB2312" w:cs="仿宋_GB2312"/>
          <w:sz w:val="32"/>
          <w:szCs w:val="32"/>
          <w:lang w:val="en-US" w:eastAsia="zh-CN"/>
        </w:rPr>
        <w:t>12866040.74元，支出16197593.89元。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4、预算执行情况：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（1）本年预算安排</w:t>
      </w:r>
      <w:r>
        <w:rPr>
          <w:rFonts w:hint="eastAsia" w:ascii="仿宋_GB2312" w:hAnsi="仿宋_GB2312" w:eastAsia="仿宋_GB2312" w:cs="仿宋_GB2312"/>
          <w:sz w:val="32"/>
          <w:szCs w:val="32"/>
          <w:lang w:val="en-US" w:eastAsia="zh-CN"/>
        </w:rPr>
        <w:t>12866040.74</w:t>
      </w:r>
      <w:r>
        <w:rPr>
          <w:rFonts w:hint="eastAsia" w:ascii="仿宋_GB2312" w:hAnsi="仿宋_GB2312" w:eastAsia="仿宋_GB2312" w:cs="仿宋_GB2312"/>
          <w:sz w:val="32"/>
          <w:szCs w:val="32"/>
          <w:lang w:eastAsia="zh-CN"/>
        </w:rPr>
        <w:t>元，其中：人员经费</w:t>
      </w:r>
      <w:r>
        <w:rPr>
          <w:rFonts w:hint="eastAsia" w:ascii="仿宋_GB2312" w:hAnsi="仿宋_GB2312" w:eastAsia="仿宋_GB2312" w:cs="仿宋_GB2312"/>
          <w:sz w:val="32"/>
          <w:szCs w:val="32"/>
          <w:lang w:val="en-US" w:eastAsia="zh-CN"/>
        </w:rPr>
        <w:t>12215335.90元，日常公用经费650704.84元</w:t>
      </w:r>
      <w:r>
        <w:rPr>
          <w:rFonts w:hint="eastAsia" w:ascii="仿宋_GB2312" w:hAnsi="仿宋_GB2312" w:eastAsia="仿宋_GB2312" w:cs="仿宋_GB2312"/>
          <w:sz w:val="32"/>
          <w:szCs w:val="32"/>
          <w:lang w:eastAsia="zh-CN"/>
        </w:rPr>
        <w:t>。比</w:t>
      </w:r>
      <w:r>
        <w:rPr>
          <w:rFonts w:hint="eastAsia" w:ascii="仿宋_GB2312" w:hAnsi="仿宋_GB2312" w:eastAsia="仿宋_GB2312" w:cs="仿宋_GB2312"/>
          <w:sz w:val="32"/>
          <w:szCs w:val="32"/>
          <w:lang w:val="en-US" w:eastAsia="zh-CN"/>
        </w:rPr>
        <w:t>2018年预算收入9458856.48元增36%。</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）本年预算支出</w:t>
      </w:r>
      <w:r>
        <w:rPr>
          <w:rFonts w:hint="eastAsia" w:ascii="仿宋_GB2312" w:hAnsi="仿宋_GB2312" w:eastAsia="仿宋_GB2312" w:cs="仿宋_GB2312"/>
          <w:sz w:val="32"/>
          <w:szCs w:val="32"/>
          <w:lang w:val="en-US" w:eastAsia="zh-CN"/>
        </w:rPr>
        <w:t>16197593.89元，</w:t>
      </w:r>
      <w:r>
        <w:rPr>
          <w:rFonts w:hint="eastAsia" w:ascii="仿宋_GB2312" w:hAnsi="仿宋_GB2312" w:eastAsia="仿宋_GB2312" w:cs="仿宋_GB2312"/>
          <w:sz w:val="32"/>
          <w:szCs w:val="32"/>
          <w:lang w:eastAsia="zh-CN"/>
        </w:rPr>
        <w:t>其中：基本支出</w:t>
      </w:r>
      <w:r>
        <w:rPr>
          <w:rFonts w:hint="eastAsia" w:ascii="仿宋_GB2312" w:hAnsi="仿宋_GB2312" w:eastAsia="仿宋_GB2312" w:cs="仿宋_GB2312"/>
          <w:sz w:val="32"/>
          <w:szCs w:val="32"/>
          <w:lang w:val="en-US" w:eastAsia="zh-CN"/>
        </w:rPr>
        <w:t>13820221.11元，项目支出2377372.78元。</w:t>
      </w:r>
      <w:r>
        <w:rPr>
          <w:rFonts w:hint="eastAsia" w:ascii="仿宋_GB2312" w:hAnsi="仿宋_GB2312" w:eastAsia="仿宋_GB2312" w:cs="仿宋_GB2312"/>
          <w:sz w:val="32"/>
          <w:szCs w:val="32"/>
          <w:lang w:eastAsia="zh-CN"/>
        </w:rPr>
        <w:t>比</w:t>
      </w:r>
      <w:r>
        <w:rPr>
          <w:rFonts w:hint="eastAsia" w:ascii="仿宋_GB2312" w:hAnsi="仿宋_GB2312" w:eastAsia="仿宋_GB2312" w:cs="仿宋_GB2312"/>
          <w:sz w:val="32"/>
          <w:szCs w:val="32"/>
          <w:lang w:val="en-US" w:eastAsia="zh-CN"/>
        </w:rPr>
        <w:t>2018年预算支出20545560.51元减少21%。</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2019年度绩效目标完成情况：</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指导督促全州完成农业总产值增长6%，达到18.232亿元（不含林业产业）</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指导督促全州完成农村常住居民人均可支配收入增长12%，达到7939元。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指导督促全州完成农牧业发展建设项目7项，完成年度投资17205万元。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指导督促全州完成粮食总产量18万吨。</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指导督促全州完成大小牲畜出栏50万头只，肉类产量3万吨。</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积极参与州庆各类大型活动。</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全面完成园林绿化工作任务。</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全面完成年度精准扶贫工作任务。</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指导督促全州巩固和新建青稞基地8万亩、马铃薯基地8万亩、油菜基地3万亩，完成投资5000万元。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指导督促全州巩固和新建药材基地10万亩、葡萄基地1.8万亩、蚕桑基地1万亩，完成投资5000万元。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指导督促全州建成人工饲草地1.5万亩、舍饲棚圈0.2万户。完成投资1905万元。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向上争取资金2亿元。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指导全州完成农机总动力累计达55万千瓦。</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指导全州培训新型农民8000人，其中：新型职业农民培育680人，新型农民技能技术培训7320人。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15.认定和促进州级农民合作社规范发展6个。16.完成政策性农业保险保费由中央和省级财政补贴部分的争取工作。</w:t>
      </w:r>
    </w:p>
    <w:p>
      <w:pPr>
        <w:spacing w:line="520" w:lineRule="exact"/>
        <w:ind w:firstLine="640" w:firstLineChars="200"/>
        <w:jc w:val="left"/>
        <w:rPr>
          <w:rFonts w:ascii="黑体" w:hAnsi="黑体" w:eastAsia="黑体"/>
          <w:sz w:val="32"/>
          <w:szCs w:val="32"/>
        </w:rPr>
      </w:pPr>
      <w:r>
        <w:rPr>
          <w:rFonts w:hint="eastAsia" w:ascii="黑体" w:hAnsi="黑体" w:eastAsia="黑体"/>
          <w:sz w:val="32"/>
          <w:szCs w:val="32"/>
        </w:rPr>
        <w:t>三、经验、问题和建议</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1.经验</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部门开展项目有健全的管理机构作为保障并明确实施主体责任；加强部门内部资金使用的监督检查，结合部门组织的目标考核、专项检查、专项督查工作中，均将项目资金的使用管理的核查作为所有考评工作的重要内容，并在项目实施完成后及时开展绩效自评。重视配合部门外部监督检查工作，如配合审计部门开展预算执行和财务收支审计工作，并对审计发现的问题积极开展整改工作。</w:t>
      </w:r>
    </w:p>
    <w:p>
      <w:pPr>
        <w:numPr>
          <w:ilvl w:val="0"/>
          <w:numId w:val="4"/>
        </w:num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资金下达到实施单位滞后，造成前期等，后期紧，错过农业生产环节，在要求的时限范围内完成资金的支付较为困难。</w:t>
      </w:r>
    </w:p>
    <w:p>
      <w:pPr>
        <w:numPr>
          <w:ilvl w:val="0"/>
          <w:numId w:val="4"/>
        </w:numPr>
        <w:spacing w:line="520" w:lineRule="exact"/>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改进措施及建议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一是要积极落实好每项工作，争取政府支持,做到资金及时下达，不误农时；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二是要不断加强工作高素质人员队伍建设，提高工作人员管理水平和业务水平；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三是要加强农业农村问题研究，深入了解项目实施期间各方面的实际需求，整合资源以提高针对性，合理有效使用项目资金，提高项目实施效率。</w:t>
      </w:r>
    </w:p>
    <w:p>
      <w:pPr>
        <w:widowControl w:val="0"/>
        <w:numPr>
          <w:ilvl w:val="0"/>
          <w:numId w:val="0"/>
        </w:numPr>
        <w:spacing w:line="520" w:lineRule="exact"/>
        <w:jc w:val="left"/>
        <w:rPr>
          <w:rFonts w:hint="eastAsia" w:ascii="仿宋_GB2312" w:hAnsi="仿宋_GB2312" w:eastAsia="仿宋_GB2312" w:cs="仿宋_GB2312"/>
          <w:sz w:val="32"/>
          <w:szCs w:val="32"/>
        </w:rPr>
      </w:pPr>
    </w:p>
    <w:p>
      <w:pPr>
        <w:widowControl w:val="0"/>
        <w:numPr>
          <w:ilvl w:val="0"/>
          <w:numId w:val="0"/>
        </w:numPr>
        <w:spacing w:line="520" w:lineRule="exact"/>
        <w:jc w:val="left"/>
        <w:rPr>
          <w:rFonts w:hint="eastAsia" w:ascii="楷体" w:hAnsi="楷体" w:eastAsia="楷体"/>
          <w:szCs w:val="32"/>
        </w:rPr>
      </w:pPr>
    </w:p>
    <w:p>
      <w:pPr>
        <w:spacing w:line="520" w:lineRule="exact"/>
        <w:jc w:val="left"/>
        <w:rPr>
          <w:rFonts w:ascii="楷体" w:hAnsi="楷体" w:eastAsia="楷体"/>
          <w:szCs w:val="32"/>
        </w:rPr>
      </w:pPr>
    </w:p>
    <w:p>
      <w:pPr>
        <w:spacing w:line="520" w:lineRule="exact"/>
        <w:ind w:firstLine="880" w:firstLineChars="2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正文：</w:t>
      </w:r>
      <w:r>
        <w:rPr>
          <w:rFonts w:hint="eastAsia" w:ascii="方正小标宋简体" w:hAnsi="方正小标宋简体" w:eastAsia="方正小标宋简体" w:cs="方正小标宋简体"/>
          <w:sz w:val="44"/>
          <w:szCs w:val="44"/>
          <w:lang w:eastAsia="zh-CN"/>
        </w:rPr>
        <w:t>迪庆藏族自治州农业农村局</w:t>
      </w:r>
      <w:r>
        <w:rPr>
          <w:rFonts w:hint="eastAsia" w:ascii="方正小标宋简体" w:hAnsi="方正小标宋简体" w:eastAsia="方正小标宋简体" w:cs="方正小标宋简体"/>
          <w:sz w:val="44"/>
          <w:szCs w:val="44"/>
        </w:rPr>
        <w:t>20</w:t>
      </w:r>
      <w:r>
        <w:rPr>
          <w:rFonts w:hint="eastAsia" w:ascii="方正小标宋简体" w:hAnsi="方正小标宋简体" w:eastAsia="方正小标宋简体" w:cs="方正小标宋简体"/>
          <w:sz w:val="44"/>
          <w:szCs w:val="44"/>
          <w:lang w:val="en-US" w:eastAsia="zh-CN"/>
        </w:rPr>
        <w:t>19</w:t>
      </w:r>
      <w:r>
        <w:rPr>
          <w:rFonts w:hint="eastAsia" w:ascii="方正小标宋简体" w:hAnsi="方正小标宋简体" w:eastAsia="方正小标宋简体" w:cs="方正小标宋简体"/>
          <w:sz w:val="44"/>
          <w:szCs w:val="44"/>
        </w:rPr>
        <w:t>年度部门整体支出绩效评价报告</w:t>
      </w:r>
    </w:p>
    <w:p>
      <w:pPr>
        <w:topLinePunct/>
        <w:spacing w:line="520" w:lineRule="exact"/>
        <w:ind w:firstLine="525" w:firstLineChars="250"/>
        <w:rPr>
          <w:rFonts w:ascii="黑体" w:eastAsia="黑体"/>
          <w:szCs w:val="32"/>
        </w:rPr>
      </w:pPr>
    </w:p>
    <w:p>
      <w:pPr>
        <w:topLinePunct/>
        <w:spacing w:line="520" w:lineRule="exact"/>
        <w:ind w:firstLine="800" w:firstLineChars="250"/>
        <w:rPr>
          <w:rFonts w:ascii="黑体" w:eastAsia="黑体"/>
          <w:sz w:val="32"/>
          <w:szCs w:val="32"/>
        </w:rPr>
      </w:pPr>
      <w:r>
        <w:rPr>
          <w:rFonts w:hint="eastAsia" w:ascii="黑体" w:eastAsia="黑体"/>
          <w:sz w:val="32"/>
          <w:szCs w:val="32"/>
        </w:rPr>
        <w:t>一、部门概况</w:t>
      </w:r>
    </w:p>
    <w:p>
      <w:pPr>
        <w:topLinePunct/>
        <w:spacing w:line="520" w:lineRule="exact"/>
        <w:ind w:firstLine="800" w:firstLineChars="250"/>
        <w:rPr>
          <w:rFonts w:hint="eastAsia" w:ascii="楷体" w:hAnsi="楷体" w:eastAsia="楷体" w:cs="楷体"/>
          <w:sz w:val="32"/>
          <w:szCs w:val="32"/>
        </w:rPr>
      </w:pPr>
      <w:r>
        <w:rPr>
          <w:rFonts w:hint="eastAsia" w:ascii="楷体" w:hAnsi="楷体" w:eastAsia="楷体" w:cs="楷体"/>
          <w:sz w:val="32"/>
          <w:szCs w:val="32"/>
        </w:rPr>
        <w:t>（一）部门机构设置、编制。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迪庆藏族自治州农业农村局是州人民政府工作部门，为正处级。加挂迪庆藏族自治州畜牧兽医局牌子。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b w:val="0"/>
          <w:i w:val="0"/>
          <w:caps w:val="0"/>
          <w:color w:val="333333"/>
          <w:spacing w:val="0"/>
          <w:sz w:val="32"/>
          <w:szCs w:val="32"/>
          <w:u w:val="none"/>
          <w:shd w:val="clear" w:color="auto" w:fill="FFFFFF"/>
          <w:lang w:eastAsia="zh-CN"/>
        </w:rPr>
      </w:pPr>
      <w:r>
        <w:rPr>
          <w:rFonts w:hint="eastAsia" w:ascii="仿宋_GB2312" w:hAnsi="仿宋_GB2312" w:eastAsia="仿宋_GB2312" w:cs="仿宋_GB2312"/>
          <w:sz w:val="32"/>
          <w:szCs w:val="32"/>
          <w:lang w:val="en-US" w:eastAsia="zh-CN"/>
        </w:rPr>
        <w:t>设下列内设机构：办公室、法规与行政审批科、发展规划科、计划财务科、乡村产业发展与产品质量监管科、改革与农村合作经济指导科、社会事业与科教环资科、种植业与农药管理科、畜牧兽医与兽药管理科、农业基本建设与农机科。</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人员编制：迪庆州农业农村局核定行政编制19名，迪庆州农信中心事业编制10人。本年度我单位行政人员38人（退休转在职人员7人、实际在岗人员31人）。事业人员12人（退休转在职人员2人，实际在岗人员10人）。</w:t>
      </w:r>
    </w:p>
    <w:p>
      <w:pPr>
        <w:numPr>
          <w:ilvl w:val="0"/>
          <w:numId w:val="5"/>
        </w:numPr>
        <w:topLinePunct/>
        <w:spacing w:line="520" w:lineRule="exact"/>
        <w:ind w:firstLine="800" w:firstLineChars="250"/>
        <w:rPr>
          <w:rFonts w:hint="eastAsia" w:ascii="楷体" w:hAnsi="楷体" w:eastAsia="楷体" w:cs="楷体"/>
          <w:sz w:val="32"/>
          <w:szCs w:val="32"/>
        </w:rPr>
      </w:pPr>
      <w:r>
        <w:rPr>
          <w:rFonts w:hint="eastAsia" w:ascii="楷体" w:hAnsi="楷体" w:eastAsia="楷体" w:cs="楷体"/>
          <w:sz w:val="32"/>
          <w:szCs w:val="32"/>
        </w:rPr>
        <w:t>部门职能。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迪庆州农业农村局成立于1978年，是直属于州政府的一个职能部门，负责全州的农牧业生产与发展。其下属单位迪庆州农业信息与农民技能提升服务中心为全额拨款事业单位，有独立编制但财务不独立核算，并入农牧局统一核算，该单位负责全州的农村劳动力输出培训。</w:t>
      </w:r>
    </w:p>
    <w:p>
      <w:pPr>
        <w:numPr>
          <w:ilvl w:val="0"/>
          <w:numId w:val="5"/>
        </w:numPr>
        <w:topLinePunct/>
        <w:spacing w:line="520" w:lineRule="exact"/>
        <w:ind w:left="0" w:leftChars="0" w:firstLine="800" w:firstLineChars="250"/>
        <w:rPr>
          <w:rFonts w:hint="eastAsia" w:ascii="楷体" w:hAnsi="楷体" w:eastAsia="楷体"/>
          <w:sz w:val="32"/>
          <w:szCs w:val="32"/>
        </w:rPr>
      </w:pPr>
      <w:r>
        <w:rPr>
          <w:rFonts w:hint="eastAsia" w:ascii="楷体" w:hAnsi="楷体" w:eastAsia="楷体"/>
          <w:sz w:val="32"/>
          <w:szCs w:val="32"/>
        </w:rPr>
        <w:t>部门工作完成情况。</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1.惠农资金实现新突破。 2019年我局争取各类惠农强农富农补贴资金24164.59万元，其中：中央农业生产发展资金4475万元，中央农业生产救灾资金5110万元，中央农业资源及生态保护补助（非贫困县）专项资金 6479.45 万元，中央动物防疫等补助经费1870.86万元，中央财政农业保险保险费补助资金2973.47万元，省级农业生产发展专项资金 422.88万元，重大动物疫病防控省级配套补助经费520万元，农业保险省级财政保险费补贴资金459.01万元，绿色食品“10大名品”“20佳创新企业”奖励资金110万元，行政村村委会所在地公厕改建省级补助资金500万元，农村无害化卫生户厕改建省级补助资金364.92万元，州级农牧业项目资金879万元。</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综合增粮再添新举措。积极探索并推进示范区建设，2019年以玉米、马铃薯、水稻、青稞、小麦、藜麦等粮食作物为主在全州建设了3个万亩省级示范区和28个千亩州级示范区。全州完成测土配方施肥技术推广面积达51.9万亩，完成计划的104%。全年病虫害总体为中等发生，部分虫害中等偏重发生，全州农作物病虫草鼠害发生面积106.64万亩次，防治面积126.79万亩次，防治面积占发生面积的118.9%，挽回病虫草鼠害损失7464.8吨。</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特色农业形成新格局。围绕我州七大产业发展的要求，加大资金投入，促进特色产品向区域化、规模化、基地化方向发展。全州完成巩固和新建优质农产品基地48.07万亩，特色畜禽规模养殖场达100个，香格里拉酒业公司被认定为国家级龙头企业，认定州级龙头企业4家，全州省州级龙头企业累计达59家，农业合作社达3174家。2019年迪庆香格里拉金坷生物资源开发有限公司的“金坷藏红花”被评为“云南10大名药材”，维西康邦美味有限公司评为“绿色食品云南20佳创新企业”。香格里拉葡萄酒产区获得“世界美酒特色产区”称号，香格里拉酒业“圣域”葡萄酒成功上市，德钦县葡萄成功申报为“一县一业”特色县，维西县塔城镇启别村成功申报农业农村部第九批“一村一品”示范村镇，维西县永春乡成功申报产业兴村强镇项目。</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安全保障再上新水平。经受住了非洲猪瘟突发疫情和草地贪夜蛾虫害的严峻考验，成功处置了香格里拉市小中甸镇非洲猪瘟疫情，全州各级动物疫情应急管理体系得到全面加强。动物防疫整村推进乡镇覆盖率达100%，高致病性禽流感、口蹄疫、小反刍兽疫应免密度达100%，免疫抗体合格率达70%以上。产地检疫、屠宰检疫均实现了电子出证，产地检疫、屠宰检疫率均达到100%。草地贪夜蛾防治面积5.5182万亩次，占发生面积的182.23%，开展草地贪夜蛾监测防控技术培训2.7685万人次。农产品抽样合格率为99.9%。保障农机安全生产各项措施落实到位，截止目前，未发生重特大农机安全事故。</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农村发展呈现新面貌。启动农村人居环境整治，全州组织广大农民群众开展“清河行动”、“村庄道路清洁行动”和春季义务植树、夏季战役、秋冬战役，共6.8万人对村庄内外、村内道路、村庄周围公路、河道进行大扫除，清理村庄、河道、公路垃圾共32570吨，清理村内水塘1116个，清理村内沟渠4178公里，清理畜禽养殖粪污等农业生产废弃物134696吨，清理残垣断壁819处，清理村内淤泥303214吨，村庄环境明显改善。全州2176个自然村中的2169个完成道路硬化，2099个自然村的畜禽粪污得到收集并综合利用，2079个自然村的村庄开展了绿化，2059个自然村建立秸秆、农田残膜等农业生产废物收集利用制度。全州行政村村委会所在地公厕累计完成改建16座，完成率为32%，完成无害化卫生户厕总数3454座，完成率为37.9%，村容村貌得到大幅提升。</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农村改革促进新发展。扎实推进涉农领域专项改革，较好完成农业农村各项改革任务。认真开展农村土地确权登记颁证“回头看”工作，我州三县(市)土地确权均通过省、部级数据汇交，全州应开展确权工作的承包方数量75768个，完善土地承包合同数量70828份，已确权承包方占应确权承包方的94.56%，应开展确权工作的承包地面积775965.95亩，确权（合同）面积696468.37亩，已确权面积占应确权面积的87.38%，已颁发证书70640份，颁证率99.75%。完成两区”划定工作中15万亩的粮食生产功能区划定。完成畜禽养殖禁养区划定面积10060.0727平方公里。农村集体产权制度改革工作、农村集体资产股份权能改革试点加快推进，“放管服”改革不断深化。</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产业扶贫迈出新步伐。在迪庆州农业产业扶贫规划实施领导小组领导下，各产业推进组多次召开推进会，出台了政策措施和规划，并抓好落实，促进了农业产业扶贫工作的顺利推进。制定了《迪庆州关于建立脱贫攻坚产业发展指导员制度工作方案》，从州级、县（市）、乡镇农林牧科技推广队伍中选派294名产业指导员，对全州147个贫困村开展产业发展指导服务工作。开展产业扶贫培训31922人次，产业扶贫宣传1144场次。全州产业扶贫资金投入稳定增长；产业覆盖建档立卡贫困户18141户65740人，占有产业发展条件建档立卡贫困人口的99.77%；与农户间建立利益联结机制的新型经营主体数量达到545家，带动建档立卡贫困户17523户62699人，占有产业发展条件建档立卡贫困人口的94.42%。全州共计投入产业发展资金74753.7万元，占全州扶贫资金投入的38.81%，全州产业扶贫资金投入形成了稳定增长的态势。</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恢复重建取得新进展。指导各县（市）、开发区完善灾后恢复重建方案，配合州恢复重建办编制《迪庆藏族自治州“11·03”金沙江干流白格堰塞湖灾后重建规划》，督促农业恢复重建项目推进实施，完成受灾农田复垦及补植补种17398.02亩，已到位资金14999.56万元。加强2019年农田建设项目指导，积极深入县市、乡镇开展项目前期，目前已完成各县市项目实施方案评审，转入了招投标阶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招商引资增添新动力。积极组织州内农业企业和合作社参加国内外各类农产品产销对接会，农业农村部2019年在迪庆成功举办为期两天的“三区三州”（四省藏区）贫困地区农产品产销对接活动。各类展会现场销售额达350万元，签订框架协议15个，协议金额达8.9亿元，招商引资落地资金3.09亿元。</w:t>
      </w:r>
    </w:p>
    <w:p>
      <w:pPr>
        <w:topLinePunct/>
        <w:spacing w:line="520" w:lineRule="exact"/>
        <w:ind w:firstLine="800" w:firstLineChars="250"/>
        <w:rPr>
          <w:rFonts w:hint="eastAsia" w:ascii="楷体" w:hAnsi="楷体" w:eastAsia="楷体"/>
          <w:sz w:val="32"/>
          <w:szCs w:val="32"/>
        </w:rPr>
      </w:pPr>
      <w:r>
        <w:rPr>
          <w:rFonts w:hint="eastAsia" w:ascii="楷体" w:hAnsi="楷体" w:eastAsia="楷体"/>
          <w:sz w:val="32"/>
          <w:szCs w:val="32"/>
        </w:rPr>
        <w:t>（四）部门管理制度。</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部门管理制度如下：</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迪庆藏族自治州农牧局规章制度（试行）、固定资产管理制度、收支管理内部控制制度、预算管理内部控制制度、政府采购管理内部控制制度。</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楷体" w:hAnsi="楷体" w:eastAsia="楷体"/>
          <w:sz w:val="32"/>
          <w:szCs w:val="32"/>
        </w:rPr>
      </w:pPr>
      <w:r>
        <w:rPr>
          <w:rFonts w:hint="eastAsia" w:ascii="楷体" w:hAnsi="楷体" w:eastAsia="楷体"/>
          <w:sz w:val="32"/>
          <w:szCs w:val="32"/>
          <w:lang w:eastAsia="zh-CN"/>
        </w:rPr>
        <w:t>（五）</w:t>
      </w:r>
      <w:r>
        <w:rPr>
          <w:rFonts w:hint="eastAsia" w:ascii="楷体" w:hAnsi="楷体" w:eastAsia="楷体"/>
          <w:sz w:val="32"/>
          <w:szCs w:val="32"/>
        </w:rPr>
        <w:t>部门资金来源及使用情况。</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资金来源：全额财政拨款</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使用情况：本年度项目支出2377372.78元, 本年度支出16197593.89元,项目支出比率为14%。</w:t>
      </w:r>
    </w:p>
    <w:p>
      <w:pPr>
        <w:keepNext w:val="0"/>
        <w:keepLines w:val="0"/>
        <w:pageBreakBefore w:val="0"/>
        <w:widowControl w:val="0"/>
        <w:kinsoku/>
        <w:wordWrap/>
        <w:overflowPunct/>
        <w:autoSpaceDE/>
        <w:autoSpaceDN/>
        <w:bidi w:val="0"/>
        <w:adjustRightInd/>
        <w:snapToGrid w:val="0"/>
        <w:spacing w:line="520" w:lineRule="exact"/>
        <w:ind w:firstLine="640" w:firstLineChars="200"/>
        <w:textAlignment w:val="auto"/>
        <w:rPr>
          <w:rFonts w:hint="eastAsia" w:ascii="楷体" w:hAnsi="楷体" w:eastAsia="楷体"/>
          <w:sz w:val="32"/>
          <w:szCs w:val="32"/>
        </w:rPr>
      </w:pPr>
      <w:r>
        <w:rPr>
          <w:rFonts w:hint="eastAsia" w:ascii="楷体" w:hAnsi="楷体" w:eastAsia="楷体"/>
          <w:sz w:val="32"/>
          <w:szCs w:val="32"/>
          <w:lang w:eastAsia="zh-CN"/>
        </w:rPr>
        <w:t>（六）</w:t>
      </w:r>
      <w:r>
        <w:rPr>
          <w:rFonts w:hint="eastAsia" w:ascii="楷体" w:hAnsi="楷体" w:eastAsia="楷体"/>
          <w:sz w:val="32"/>
          <w:szCs w:val="32"/>
        </w:rPr>
        <w:t>政府采购情况。</w:t>
      </w:r>
    </w:p>
    <w:tbl>
      <w:tblPr>
        <w:tblStyle w:val="6"/>
        <w:tblW w:w="9392" w:type="dxa"/>
        <w:tblInd w:w="-4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42"/>
        <w:gridCol w:w="517"/>
        <w:gridCol w:w="825"/>
        <w:gridCol w:w="674"/>
        <w:gridCol w:w="842"/>
        <w:gridCol w:w="628"/>
        <w:gridCol w:w="847"/>
        <w:gridCol w:w="608"/>
        <w:gridCol w:w="692"/>
        <w:gridCol w:w="750"/>
        <w:gridCol w:w="892"/>
        <w:gridCol w:w="606"/>
        <w:gridCol w:w="8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9392" w:type="dxa"/>
            <w:gridSpan w:val="13"/>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金额单位： 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项目</w:t>
            </w:r>
          </w:p>
        </w:tc>
        <w:tc>
          <w:tcPr>
            <w:tcW w:w="5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行</w:t>
            </w:r>
          </w:p>
        </w:tc>
        <w:tc>
          <w:tcPr>
            <w:tcW w:w="442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采购计划金额</w:t>
            </w:r>
          </w:p>
        </w:tc>
        <w:tc>
          <w:tcPr>
            <w:tcW w:w="38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实际采购金额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总计</w:t>
            </w:r>
          </w:p>
        </w:tc>
        <w:tc>
          <w:tcPr>
            <w:tcW w:w="299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采购预算(财政性资金)</w:t>
            </w:r>
          </w:p>
        </w:tc>
        <w:tc>
          <w:tcPr>
            <w:tcW w:w="6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非财政性资金</w:t>
            </w:r>
          </w:p>
        </w:tc>
        <w:tc>
          <w:tcPr>
            <w:tcW w:w="6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总计</w:t>
            </w:r>
          </w:p>
        </w:tc>
        <w:tc>
          <w:tcPr>
            <w:tcW w:w="31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采购预算(财政性资金)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674"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合计</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一般公共预算</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政府性基金预算</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其他资金</w:t>
            </w:r>
          </w:p>
        </w:tc>
        <w:tc>
          <w:tcPr>
            <w:tcW w:w="6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合计</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一般公共预算</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政府性基金预算</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5</w:t>
            </w:r>
          </w:p>
        </w:tc>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6</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7</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9</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0"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合计</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3.426</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4.694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3.426</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4.694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0"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货物</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3.426</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4.694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8.12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3.426</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4.694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0"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工程</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0"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服务</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c>
          <w:tcPr>
            <w:tcW w:w="8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w:t>
            </w:r>
          </w:p>
        </w:tc>
      </w:tr>
    </w:tbl>
    <w:p>
      <w:pPr>
        <w:numPr>
          <w:numId w:val="0"/>
        </w:numPr>
        <w:topLinePunct/>
        <w:spacing w:line="520" w:lineRule="exact"/>
        <w:rPr>
          <w:rFonts w:hint="eastAsia" w:ascii="楷体" w:hAnsi="楷体" w:eastAsia="楷体"/>
          <w:sz w:val="32"/>
          <w:szCs w:val="32"/>
        </w:rPr>
      </w:pPr>
    </w:p>
    <w:p>
      <w:pPr>
        <w:keepNext w:val="0"/>
        <w:keepLines w:val="0"/>
        <w:pageBreakBefore w:val="0"/>
        <w:widowControl w:val="0"/>
        <w:numPr>
          <w:numId w:val="0"/>
        </w:numPr>
        <w:kinsoku/>
        <w:wordWrap/>
        <w:overflowPunct/>
        <w:topLinePunct/>
        <w:autoSpaceDE/>
        <w:autoSpaceDN/>
        <w:bidi w:val="0"/>
        <w:adjustRightInd/>
        <w:snapToGrid/>
        <w:spacing w:line="520" w:lineRule="exact"/>
        <w:ind w:firstLine="640" w:firstLineChars="200"/>
        <w:textAlignment w:val="auto"/>
        <w:rPr>
          <w:rFonts w:hint="eastAsia" w:ascii="楷体" w:hAnsi="楷体" w:eastAsia="楷体"/>
          <w:sz w:val="32"/>
          <w:szCs w:val="32"/>
        </w:rPr>
      </w:pPr>
      <w:r>
        <w:rPr>
          <w:rFonts w:hint="eastAsia" w:ascii="楷体" w:hAnsi="楷体" w:eastAsia="楷体"/>
          <w:sz w:val="32"/>
          <w:szCs w:val="32"/>
          <w:lang w:eastAsia="zh-CN"/>
        </w:rPr>
        <w:t>（七）</w:t>
      </w:r>
      <w:r>
        <w:rPr>
          <w:rFonts w:hint="eastAsia" w:ascii="楷体" w:hAnsi="楷体" w:eastAsia="楷体"/>
          <w:sz w:val="32"/>
          <w:szCs w:val="32"/>
        </w:rPr>
        <w:t>固定资产情况。</w:t>
      </w:r>
    </w:p>
    <w:p>
      <w:pPr>
        <w:topLinePunct/>
        <w:spacing w:line="52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本年度资产总计9346038.67元，上年度资产总计5683513.34元，比上年增3662525.33元，增幅64%，主要原因是无偿划拨给香格里拉市政府以及农产品体系、种子体系大楼竣工，固定资产入账，因此2019年度固定资产增加。</w:t>
      </w:r>
    </w:p>
    <w:p>
      <w:pPr>
        <w:topLinePunct/>
        <w:spacing w:line="520" w:lineRule="exact"/>
        <w:ind w:firstLine="800" w:firstLineChars="250"/>
        <w:rPr>
          <w:rFonts w:hint="eastAsia" w:ascii="黑体" w:hAnsi="黑体" w:eastAsia="黑体" w:cs="黑体"/>
          <w:sz w:val="32"/>
          <w:szCs w:val="32"/>
        </w:rPr>
      </w:pPr>
      <w:r>
        <w:rPr>
          <w:rFonts w:hint="eastAsia" w:ascii="黑体" w:hAnsi="黑体" w:eastAsia="黑体" w:cs="黑体"/>
          <w:sz w:val="32"/>
          <w:szCs w:val="32"/>
        </w:rPr>
        <w:t>二、绩效目标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楷体" w:hAnsi="楷体" w:eastAsia="楷体"/>
          <w:sz w:val="32"/>
          <w:szCs w:val="32"/>
          <w:lang w:eastAsia="zh-CN"/>
        </w:rPr>
      </w:pPr>
      <w:r>
        <w:rPr>
          <w:rFonts w:hint="eastAsia" w:ascii="楷体" w:hAnsi="楷体" w:eastAsia="楷体"/>
          <w:sz w:val="32"/>
          <w:szCs w:val="32"/>
        </w:rPr>
        <w:t>（一）部门总目标</w:t>
      </w:r>
      <w:r>
        <w:rPr>
          <w:rFonts w:hint="eastAsia" w:ascii="楷体" w:hAnsi="楷体" w:eastAsia="楷体"/>
          <w:sz w:val="32"/>
          <w:szCs w:val="32"/>
          <w:lang w:eastAsia="zh-CN"/>
        </w:rPr>
        <w:t>。</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统筹研究和组织实施“三农”工作的中长期规划、重大政策。组织起草农业农村有关地方性法规，政府规章草案，指导农业综合执法，承担法律法规明确的执法职责。参与涉农的财税、价格、收储、金融保险、进出口等政策制定。统筹推动发展农村社会事业、农村公共服务、农村文化、农村基础设施和乡村治理。牵头组织改善农村人居环境。指导农村精神文明和优秀农耕文化建设。指导农业行业安全生产工作。拟订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指导乡村特色产业、农产品加工业、休闲农业和农业龙头企业、乡镇企业发展工作。培育、保护农业品牌，打造世界一流“绿色食品牌”。组织农业会展，促进招商引资，提出促进农产品流通和市场开拓的建议。发布农业农村经济信息，监测分析农业农村经济运行情况。承担农业统计和农业农村信息化有关工作。负责种植业、畜牧业、渔业、农业机械化等农业各产业的监督管理。指导粮食等农产品生产。组织构建现代农业产业体系、生产体系、经营体系，指导农业标准化生产、促进绿色发展。负责渔政监督管理。负责农产品质量安全监督管理，组织开展农产品质量安全监测、追溯、风险评估。参与制定农产品质量安全地方标准并会同有关部门组织实施。指导农业检验检测体系建设。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负责有关农业生产资料和农业投入品的监督管理。组织农业生产资料市场体系建设。组织兽医医政、兽药药政药检工作，负责执业兽医和畜禽屠宰行业管理。负责农业防灾减灾、农作物重大病虫害防治工作。指导动植物防疫检疫体系建设，组织、监督州内动植物防疫检疫工作，发布疫情并组织扑灭。负责农业投资管理。提出农业投融资体制机制改革建议。编制中央、省和州投资安排的农业投资项目建设规划，提出农业投资规模和方向、扶持农业农村发展财政项目的建议，按照州政府规定权限审批农业投资项目，负责农业投资项目资金安排和监督管理。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指导农业农村人才工作。拟订农业农村人才队伍建设规划并组织实施，指导农业教育和农业职业技能开发，指导新型职业农民培育、农业科技人才培养和农村实用人才培训工作。牵头开展农业对外合作工作。承办农业涉外事务，组织开展农业贸易促进和有关国际、省际和州市间交流合作。</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楷体" w:hAnsi="楷体" w:eastAsia="楷体"/>
          <w:sz w:val="32"/>
          <w:szCs w:val="32"/>
        </w:rPr>
      </w:pPr>
      <w:r>
        <w:rPr>
          <w:rFonts w:hint="eastAsia" w:ascii="楷体" w:hAnsi="楷体" w:eastAsia="楷体"/>
          <w:sz w:val="32"/>
          <w:szCs w:val="32"/>
          <w:lang w:eastAsia="zh-CN"/>
        </w:rPr>
        <w:t>（二）</w:t>
      </w:r>
      <w:r>
        <w:rPr>
          <w:rFonts w:hint="eastAsia" w:ascii="楷体" w:hAnsi="楷体" w:eastAsia="楷体"/>
          <w:sz w:val="32"/>
          <w:szCs w:val="32"/>
        </w:rPr>
        <w:t>部门项目具体计划目标。</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1、指导督促全州农业总产值（不含林业）比上年增长6%。</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2、指导督促全州农村常住居民人均可支配收入比上年增长10%。</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3、指导督促全州粮食总产量达到15.1万吨。</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4、全州完成农机总动力累计达41.5万千瓦。</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5、向上争取资金1.2亿元以上。</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6、完成全州良种推广覆盖率达85%。</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7、重大动物疫病应免密度100%，抗体合格率70%以上。</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8、生猪定点屠宰、生猪调出产地检疫率达100%。</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9、全面完成年度精准扶贫工作任务。</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10、指导督促县市完成2019年州级重点项目年度建设任务。</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11、完成2019年政府重点工作任务分解的各项目标任务</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12、全州大小牲畜出栏与上年持平，肉产量与上年持平。</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13、农产品加工产值比上年增长2%。</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14、完成上级下达的培育新型职业农民任务。</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15、全面做好金沙江流域迪庆段大幅消减农业面源污染负荷年度工作任务。</w:t>
      </w:r>
    </w:p>
    <w:p>
      <w:pPr>
        <w:pStyle w:val="2"/>
        <w:rPr>
          <w:rFonts w:hint="eastAsia"/>
          <w:lang w:val="en-US" w:eastAsia="zh-CN"/>
        </w:rPr>
      </w:pPr>
    </w:p>
    <w:p>
      <w:pPr>
        <w:topLinePunct/>
        <w:spacing w:line="520" w:lineRule="exact"/>
        <w:ind w:firstLine="800" w:firstLineChars="250"/>
        <w:rPr>
          <w:rFonts w:ascii="黑体" w:hAnsi="黑体" w:eastAsia="黑体"/>
          <w:sz w:val="32"/>
          <w:szCs w:val="32"/>
        </w:rPr>
      </w:pPr>
      <w:r>
        <w:rPr>
          <w:rFonts w:hint="eastAsia" w:ascii="黑体" w:hAnsi="黑体" w:eastAsia="黑体"/>
          <w:sz w:val="32"/>
          <w:szCs w:val="32"/>
        </w:rPr>
        <w:t>三、评价思路和过程</w:t>
      </w:r>
    </w:p>
    <w:p>
      <w:pPr>
        <w:keepNext w:val="0"/>
        <w:keepLines w:val="0"/>
        <w:pageBreakBefore w:val="0"/>
        <w:widowControl w:val="0"/>
        <w:kinsoku/>
        <w:wordWrap/>
        <w:overflowPunct/>
        <w:topLinePunct/>
        <w:autoSpaceDE/>
        <w:autoSpaceDN/>
        <w:bidi w:val="0"/>
        <w:snapToGrid/>
        <w:spacing w:line="52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（一）评价思路：</w:t>
      </w:r>
    </w:p>
    <w:p>
      <w:pPr>
        <w:keepNext w:val="0"/>
        <w:keepLines w:val="0"/>
        <w:pageBreakBefore w:val="0"/>
        <w:widowControl w:val="0"/>
        <w:kinsoku/>
        <w:wordWrap/>
        <w:overflowPunct/>
        <w:topLinePunct/>
        <w:autoSpaceDE/>
        <w:autoSpaceDN/>
        <w:bidi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确认当年度部门整体支出的绩效目标</w:t>
      </w:r>
    </w:p>
    <w:p>
      <w:pPr>
        <w:keepNext w:val="0"/>
        <w:keepLines w:val="0"/>
        <w:pageBreakBefore w:val="0"/>
        <w:widowControl w:val="0"/>
        <w:kinsoku/>
        <w:wordWrap/>
        <w:overflowPunct/>
        <w:topLinePunct/>
        <w:autoSpaceDE/>
        <w:autoSpaceDN/>
        <w:bidi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梳理部门内部管理制度及存量资源</w:t>
      </w:r>
    </w:p>
    <w:p>
      <w:pPr>
        <w:keepNext w:val="0"/>
        <w:keepLines w:val="0"/>
        <w:pageBreakBefore w:val="0"/>
        <w:widowControl w:val="0"/>
        <w:kinsoku/>
        <w:wordWrap/>
        <w:overflowPunct/>
        <w:topLinePunct/>
        <w:autoSpaceDE/>
        <w:autoSpaceDN/>
        <w:bidi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分析确定当年度部门整体支出的评价重点</w:t>
      </w:r>
    </w:p>
    <w:p>
      <w:pPr>
        <w:keepNext w:val="0"/>
        <w:keepLines w:val="0"/>
        <w:pageBreakBefore w:val="0"/>
        <w:widowControl w:val="0"/>
        <w:kinsoku/>
        <w:wordWrap/>
        <w:overflowPunct/>
        <w:topLinePunct/>
        <w:autoSpaceDE/>
        <w:autoSpaceDN/>
        <w:bidi w:val="0"/>
        <w:snapToGrid/>
        <w:spacing w:line="520" w:lineRule="exact"/>
        <w:ind w:firstLine="640" w:firstLineChars="200"/>
        <w:textAlignment w:val="auto"/>
        <w:rPr>
          <w:rFonts w:ascii="仿宋_GB2312" w:hAnsi="楷体" w:eastAsia="仿宋_GB231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构建绩效评价指标体系</w:t>
      </w:r>
      <w:r>
        <w:rPr>
          <w:rFonts w:hint="eastAsia" w:ascii="仿宋_GB2312" w:hAnsi="楷体" w:eastAsia="仿宋_GB2312"/>
          <w:szCs w:val="32"/>
        </w:rPr>
        <w:t>。</w:t>
      </w:r>
    </w:p>
    <w:p>
      <w:pPr>
        <w:keepNext w:val="0"/>
        <w:keepLines w:val="0"/>
        <w:pageBreakBefore w:val="0"/>
        <w:widowControl w:val="0"/>
        <w:kinsoku/>
        <w:wordWrap/>
        <w:overflowPunct/>
        <w:autoSpaceDE/>
        <w:autoSpaceDN/>
        <w:bidi w:val="0"/>
        <w:adjustRightInd w:val="0"/>
        <w:snapToGrid/>
        <w:spacing w:line="52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（二）评价目的。</w:t>
      </w:r>
    </w:p>
    <w:p>
      <w:pPr>
        <w:keepNext w:val="0"/>
        <w:keepLines w:val="0"/>
        <w:pageBreakBefore w:val="0"/>
        <w:widowControl w:val="0"/>
        <w:kinsoku/>
        <w:wordWrap/>
        <w:overflowPunct/>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通过收集</w:t>
      </w:r>
      <w:r>
        <w:rPr>
          <w:rFonts w:hint="eastAsia" w:ascii="仿宋_GB2312" w:hAnsi="仿宋_GB2312" w:eastAsia="仿宋_GB2312" w:cs="仿宋_GB2312"/>
          <w:color w:val="000000"/>
          <w:kern w:val="0"/>
          <w:sz w:val="32"/>
          <w:szCs w:val="32"/>
          <w:lang w:eastAsia="zh-CN"/>
        </w:rPr>
        <w:t>部门</w:t>
      </w:r>
      <w:r>
        <w:rPr>
          <w:rFonts w:hint="eastAsia" w:ascii="仿宋_GB2312" w:hAnsi="仿宋_GB2312" w:eastAsia="仿宋_GB2312" w:cs="仿宋_GB2312"/>
          <w:color w:val="000000"/>
          <w:kern w:val="0"/>
          <w:sz w:val="32"/>
          <w:szCs w:val="32"/>
        </w:rPr>
        <w:t>基本情况、预算制定与明细、部门中长期规划目标及组织架构等信息，分析</w:t>
      </w:r>
      <w:r>
        <w:rPr>
          <w:rFonts w:hint="eastAsia" w:ascii="仿宋_GB2312" w:hAnsi="仿宋_GB2312" w:eastAsia="仿宋_GB2312" w:cs="仿宋_GB2312"/>
          <w:color w:val="000000"/>
          <w:kern w:val="0"/>
          <w:sz w:val="32"/>
          <w:szCs w:val="32"/>
          <w:lang w:eastAsia="zh-CN"/>
        </w:rPr>
        <w:t>部门</w:t>
      </w:r>
      <w:r>
        <w:rPr>
          <w:rFonts w:hint="eastAsia" w:ascii="仿宋_GB2312" w:hAnsi="仿宋_GB2312" w:eastAsia="仿宋_GB2312" w:cs="仿宋_GB2312"/>
          <w:color w:val="000000"/>
          <w:kern w:val="0"/>
          <w:sz w:val="32"/>
          <w:szCs w:val="32"/>
        </w:rPr>
        <w:t>资源配置的合理性及中长期规划目标完成与履职情况，总结经验做法，找出预算绩效管理中的薄弱环节，提出改进建议，提高财政资金的使用效益。</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（三）评价依据。</w:t>
      </w:r>
    </w:p>
    <w:p>
      <w:pPr>
        <w:keepNext w:val="0"/>
        <w:keepLines w:val="0"/>
        <w:pageBreakBefore w:val="0"/>
        <w:widowControl w:val="0"/>
        <w:kinsoku/>
        <w:wordWrap/>
        <w:overflowPunct/>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《关于印发〈201</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年度政府</w:t>
      </w:r>
      <w:r>
        <w:rPr>
          <w:rFonts w:hint="eastAsia" w:ascii="仿宋_GB2312" w:hAnsi="仿宋_GB2312" w:eastAsia="仿宋_GB2312" w:cs="仿宋_GB2312"/>
          <w:color w:val="000000"/>
          <w:kern w:val="0"/>
          <w:sz w:val="32"/>
          <w:szCs w:val="32"/>
          <w:lang w:eastAsia="zh-CN"/>
        </w:rPr>
        <w:t>部门</w:t>
      </w:r>
      <w:r>
        <w:rPr>
          <w:rFonts w:hint="eastAsia" w:ascii="仿宋_GB2312" w:hAnsi="仿宋_GB2312" w:eastAsia="仿宋_GB2312" w:cs="仿宋_GB2312"/>
          <w:color w:val="000000"/>
          <w:kern w:val="0"/>
          <w:sz w:val="32"/>
          <w:szCs w:val="32"/>
        </w:rPr>
        <w:t>目标督查管理工作目标及考核办法〉的通知》（迪目督办发〔201</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rPr>
        <w:t>号）、</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迪庆藏族自治州人民政府</w:t>
      </w:r>
      <w:r>
        <w:rPr>
          <w:rFonts w:hint="eastAsia" w:ascii="仿宋_GB2312" w:hAnsi="仿宋_GB2312" w:eastAsia="仿宋_GB2312" w:cs="仿宋_GB2312"/>
          <w:color w:val="000000"/>
          <w:kern w:val="0"/>
          <w:sz w:val="32"/>
          <w:szCs w:val="32"/>
          <w:lang w:eastAsia="zh-CN"/>
        </w:rPr>
        <w:t>办公室</w:t>
      </w:r>
      <w:r>
        <w:rPr>
          <w:rFonts w:hint="eastAsia" w:ascii="仿宋_GB2312" w:hAnsi="仿宋_GB2312" w:eastAsia="仿宋_GB2312" w:cs="仿宋_GB2312"/>
          <w:color w:val="000000"/>
          <w:kern w:val="0"/>
          <w:sz w:val="32"/>
          <w:szCs w:val="32"/>
        </w:rPr>
        <w:t>关于印发201</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年州级重点建设项目计划及责任分解方案的通知</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迪政办发〔</w:t>
      </w:r>
      <w:r>
        <w:rPr>
          <w:rFonts w:hint="eastAsia" w:ascii="仿宋_GB2312" w:hAnsi="仿宋_GB2312" w:eastAsia="仿宋_GB2312" w:cs="仿宋_GB2312"/>
          <w:color w:val="000000"/>
          <w:kern w:val="0"/>
          <w:sz w:val="32"/>
          <w:szCs w:val="32"/>
          <w:lang w:val="en-US" w:eastAsia="zh-CN"/>
        </w:rPr>
        <w:t>2019</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13</w:t>
      </w:r>
      <w:r>
        <w:rPr>
          <w:rFonts w:hint="eastAsia" w:ascii="仿宋_GB2312" w:hAnsi="仿宋_GB2312" w:eastAsia="仿宋_GB2312" w:cs="仿宋_GB2312"/>
          <w:color w:val="000000"/>
          <w:kern w:val="0"/>
          <w:sz w:val="32"/>
          <w:szCs w:val="32"/>
        </w:rPr>
        <w:t>号</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迪庆藏族自治州人民政府办公室关于印发2019年政府工作报告重点工作分解的通知</w:t>
      </w:r>
      <w:r>
        <w:rPr>
          <w:rFonts w:hint="eastAsia" w:ascii="仿宋_GB2312" w:hAnsi="仿宋_GB2312" w:eastAsia="仿宋_GB2312" w:cs="仿宋_GB2312"/>
          <w:color w:val="000000"/>
          <w:kern w:val="0"/>
          <w:sz w:val="32"/>
          <w:szCs w:val="32"/>
          <w:lang w:eastAsia="zh-CN"/>
        </w:rPr>
        <w:t>》</w:t>
      </w:r>
      <w:bookmarkStart w:id="0" w:name="doc_mark"/>
      <w:r>
        <w:rPr>
          <w:rFonts w:hint="eastAsia" w:ascii="仿宋_GB2312" w:hAnsi="仿宋_GB2312" w:eastAsia="仿宋_GB2312" w:cs="仿宋_GB2312"/>
          <w:color w:val="000000"/>
          <w:kern w:val="0"/>
          <w:sz w:val="32"/>
          <w:szCs w:val="32"/>
          <w:lang w:eastAsia="zh-CN"/>
        </w:rPr>
        <w:t>（迪政办发〔2019〕14号</w:t>
      </w:r>
      <w:bookmarkEnd w:id="0"/>
      <w:r>
        <w:rPr>
          <w:rFonts w:hint="eastAsia" w:ascii="仿宋_GB2312" w:hAnsi="仿宋_GB2312" w:eastAsia="仿宋_GB2312" w:cs="仿宋_GB2312"/>
          <w:color w:val="000000"/>
          <w:kern w:val="0"/>
          <w:sz w:val="32"/>
          <w:szCs w:val="32"/>
          <w:lang w:eastAsia="zh-CN"/>
        </w:rPr>
        <w:t>）等文件要求对迪庆州农业农村局绩效目标是否完成进行评价。</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textAlignment w:val="auto"/>
        <w:rPr>
          <w:rFonts w:hint="eastAsia" w:ascii="楷体" w:hAnsi="楷体" w:eastAsia="楷体"/>
          <w:sz w:val="32"/>
          <w:szCs w:val="32"/>
        </w:rPr>
      </w:pPr>
      <w:r>
        <w:rPr>
          <w:rFonts w:hint="eastAsia" w:ascii="楷体" w:hAnsi="楷体" w:eastAsia="楷体"/>
          <w:sz w:val="32"/>
          <w:szCs w:val="32"/>
          <w:lang w:eastAsia="zh-CN"/>
        </w:rPr>
        <w:t>（四）</w:t>
      </w:r>
      <w:r>
        <w:rPr>
          <w:rFonts w:hint="eastAsia" w:ascii="楷体" w:hAnsi="楷体" w:eastAsia="楷体"/>
          <w:sz w:val="32"/>
          <w:szCs w:val="32"/>
        </w:rPr>
        <w:t>评价对象及评价时段。</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评价对象：迪庆藏族自治州农业农村局</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评价时段：</w:t>
      </w:r>
      <w:r>
        <w:rPr>
          <w:rFonts w:hint="eastAsia" w:ascii="仿宋_GB2312" w:hAnsi="仿宋_GB2312" w:eastAsia="仿宋_GB2312" w:cs="仿宋_GB2312"/>
          <w:sz w:val="32"/>
          <w:szCs w:val="32"/>
          <w:lang w:val="en-US" w:eastAsia="zh-CN"/>
        </w:rPr>
        <w:t>2020年5月</w:t>
      </w:r>
    </w:p>
    <w:p>
      <w:pPr>
        <w:topLinePunct/>
        <w:spacing w:line="520" w:lineRule="exact"/>
        <w:ind w:firstLine="800" w:firstLineChars="250"/>
        <w:rPr>
          <w:rFonts w:ascii="黑体" w:hAnsi="黑体" w:eastAsia="黑体"/>
          <w:sz w:val="32"/>
          <w:szCs w:val="32"/>
        </w:rPr>
      </w:pPr>
      <w:r>
        <w:rPr>
          <w:rFonts w:hint="eastAsia" w:ascii="黑体" w:hAnsi="黑体" w:eastAsia="黑体"/>
          <w:sz w:val="32"/>
          <w:szCs w:val="32"/>
        </w:rPr>
        <w:t>四、评价结论和绩效分析</w:t>
      </w:r>
    </w:p>
    <w:p>
      <w:pPr>
        <w:topLinePunct/>
        <w:spacing w:line="520" w:lineRule="exact"/>
        <w:ind w:firstLine="800" w:firstLineChars="250"/>
        <w:rPr>
          <w:rFonts w:ascii="楷体" w:hAnsi="楷体" w:eastAsia="楷体"/>
          <w:sz w:val="32"/>
          <w:szCs w:val="32"/>
        </w:rPr>
      </w:pPr>
      <w:r>
        <w:rPr>
          <w:rFonts w:hint="eastAsia" w:ascii="楷体" w:hAnsi="楷体" w:eastAsia="楷体"/>
          <w:sz w:val="32"/>
          <w:szCs w:val="32"/>
        </w:rPr>
        <w:t>（一）评价结论。</w:t>
      </w:r>
    </w:p>
    <w:p>
      <w:pPr>
        <w:topLinePunct/>
        <w:spacing w:line="52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1.评价结果。</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通过迪庆州农业农村局全局各科室的相互配合及努力，</w:t>
      </w:r>
      <w:r>
        <w:rPr>
          <w:rFonts w:hint="eastAsia" w:ascii="仿宋_GB2312" w:hAnsi="仿宋_GB2312" w:eastAsia="仿宋_GB2312" w:cs="仿宋_GB2312"/>
          <w:sz w:val="32"/>
          <w:szCs w:val="32"/>
          <w:lang w:val="en-US" w:eastAsia="zh-CN"/>
        </w:rPr>
        <w:t>2019年全局各预算支出、项目支出得到有效的管理。人员经费支出13186624.27元,年度总支出16197593.89元,人员支出比率为82%。公用支出633596.84元, 年度总支出16197593.89元,公用支出比率为4%。项目支出2377372.78元, 年度总支出16197593.89元,项目支出比率为14%，均得到有效管理控制。同时完成年初预算绩效目标，完成年度重点任务。</w:t>
      </w:r>
    </w:p>
    <w:p>
      <w:pPr>
        <w:numPr>
          <w:ilvl w:val="0"/>
          <w:numId w:val="6"/>
        </w:numPr>
        <w:topLinePunct/>
        <w:spacing w:line="52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主要绩效。</w:t>
      </w:r>
    </w:p>
    <w:p>
      <w:pPr>
        <w:keepNext w:val="0"/>
        <w:keepLines w:val="0"/>
        <w:pageBreakBefore w:val="0"/>
        <w:widowControl w:val="0"/>
        <w:numPr>
          <w:ilvl w:val="0"/>
          <w:numId w:val="0"/>
        </w:numPr>
        <w:kinsoku/>
        <w:wordWrap/>
        <w:overflowPunct/>
        <w:topLinePunct/>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指导督促全州完成农业总产值增长6%，达到18.232亿元（不含林业产业）2.指导督促全州完成农村常住居民人均可支配收入增长12%，达到7939元。3.指导督促全州完成农牧业发展建设项目7项，完成年度投资17205万元。4.指导督促全州完成粮食总产量18万吨。5.指导督促全州完成大小牲畜出栏50万头只，肉类产量3万吨。6.积极参与州庆各类大型活动。7.全面完成园林绿化工作任务。8.全面完成年度精准扶贫工作任务。9.指导督促全州巩固和新建青稞基地8万亩、马铃薯基地8万亩、油菜基地3万亩，完成投资5000万元。10.指导督促全州巩固和新建药材基地10万亩、葡萄基地1.8万亩、蚕桑基地1万亩，完成投资5000万元。11.指导督促全州建成人工饲草地1.5万亩、舍饲棚圈0.2万户。完成投资1905万元。12.向上争取资金2亿元。13.指导全州完成农机总动力累计达55万千瓦。14.指导全州培训新型农民8000人，其中：新型职业农民培育680人，新型农民技能技术培训7320人。15.认定和促进州级农民合作社规范发展6个。16.完成政策性农业保险保费由中央和省级财政补贴部分的争取工作。</w:t>
      </w:r>
    </w:p>
    <w:p>
      <w:pPr>
        <w:numPr>
          <w:ilvl w:val="0"/>
          <w:numId w:val="7"/>
        </w:numPr>
        <w:topLinePunct/>
        <w:spacing w:line="520" w:lineRule="exact"/>
        <w:ind w:firstLine="800" w:firstLineChars="250"/>
        <w:rPr>
          <w:rFonts w:hint="eastAsia" w:ascii="楷体" w:hAnsi="楷体" w:eastAsia="楷体"/>
          <w:sz w:val="32"/>
          <w:szCs w:val="32"/>
        </w:rPr>
      </w:pPr>
      <w:r>
        <w:rPr>
          <w:rFonts w:hint="eastAsia" w:ascii="楷体" w:hAnsi="楷体" w:eastAsia="楷体"/>
          <w:sz w:val="32"/>
          <w:szCs w:val="32"/>
        </w:rPr>
        <w:t>具体绩效分析。</w:t>
      </w:r>
    </w:p>
    <w:p>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rPr>
        <w:t>1.指导督促全州农业总产值（不含林业）比上年增长6%。</w:t>
      </w:r>
    </w:p>
    <w:p>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color w:val="auto"/>
          <w:sz w:val="32"/>
          <w:szCs w:val="32"/>
          <w:lang w:eastAsia="zh-CN"/>
        </w:rPr>
      </w:pPr>
      <w:r>
        <w:rPr>
          <w:rFonts w:hint="eastAsia" w:ascii="方正仿宋_GBK" w:hAnsi="方正仿宋_GBK" w:eastAsia="方正仿宋_GBK" w:cs="方正仿宋_GBK"/>
          <w:b w:val="0"/>
          <w:bCs w:val="0"/>
          <w:color w:val="auto"/>
          <w:sz w:val="32"/>
          <w:szCs w:val="32"/>
        </w:rPr>
        <w:t>全州农业总产值（不含林业） 预计达</w:t>
      </w:r>
      <w:r>
        <w:rPr>
          <w:rFonts w:hint="eastAsia" w:ascii="方正仿宋_GBK" w:hAnsi="方正仿宋_GBK" w:eastAsia="方正仿宋_GBK" w:cs="方正仿宋_GBK"/>
          <w:b w:val="0"/>
          <w:bCs w:val="0"/>
          <w:color w:val="auto"/>
          <w:sz w:val="32"/>
          <w:szCs w:val="32"/>
          <w:lang w:val="en-US" w:eastAsia="zh-CN"/>
        </w:rPr>
        <w:t>18.4362</w:t>
      </w:r>
      <w:r>
        <w:rPr>
          <w:rFonts w:hint="eastAsia" w:ascii="方正仿宋_GBK" w:hAnsi="方正仿宋_GBK" w:eastAsia="方正仿宋_GBK" w:cs="方正仿宋_GBK"/>
          <w:b w:val="0"/>
          <w:bCs w:val="0"/>
          <w:color w:val="auto"/>
          <w:sz w:val="32"/>
          <w:szCs w:val="32"/>
        </w:rPr>
        <w:t>亿元</w:t>
      </w:r>
      <w:r>
        <w:rPr>
          <w:rFonts w:hint="eastAsia" w:ascii="方正仿宋_GBK" w:hAnsi="方正仿宋_GBK" w:eastAsia="方正仿宋_GBK" w:cs="方正仿宋_GBK"/>
          <w:b w:val="0"/>
          <w:bCs w:val="0"/>
          <w:color w:val="auto"/>
          <w:sz w:val="32"/>
          <w:szCs w:val="32"/>
          <w:lang w:eastAsia="zh-CN"/>
        </w:rPr>
        <w:t>，比</w:t>
      </w:r>
      <w:r>
        <w:rPr>
          <w:rFonts w:hint="eastAsia" w:ascii="方正仿宋_GBK" w:hAnsi="方正仿宋_GBK" w:eastAsia="方正仿宋_GBK" w:cs="方正仿宋_GBK"/>
          <w:b w:val="0"/>
          <w:bCs w:val="0"/>
          <w:color w:val="auto"/>
          <w:sz w:val="32"/>
          <w:szCs w:val="32"/>
        </w:rPr>
        <w:t>上年增长6</w:t>
      </w:r>
      <w:r>
        <w:rPr>
          <w:rFonts w:hint="eastAsia" w:ascii="方正仿宋_GBK" w:hAnsi="方正仿宋_GBK" w:eastAsia="方正仿宋_GBK" w:cs="方正仿宋_GBK"/>
          <w:b w:val="0"/>
          <w:bCs w:val="0"/>
          <w:color w:val="auto"/>
          <w:sz w:val="32"/>
          <w:szCs w:val="32"/>
          <w:lang w:val="en-US" w:eastAsia="zh-CN"/>
        </w:rPr>
        <w:t>.1</w:t>
      </w:r>
      <w:r>
        <w:rPr>
          <w:rFonts w:hint="eastAsia" w:ascii="方正仿宋_GBK" w:hAnsi="方正仿宋_GBK" w:eastAsia="方正仿宋_GBK" w:cs="方正仿宋_GBK"/>
          <w:b w:val="0"/>
          <w:bCs w:val="0"/>
          <w:color w:val="auto"/>
          <w:sz w:val="32"/>
          <w:szCs w:val="32"/>
        </w:rPr>
        <w:t>%</w:t>
      </w:r>
      <w:r>
        <w:rPr>
          <w:rFonts w:hint="eastAsia" w:ascii="方正仿宋_GBK" w:hAnsi="方正仿宋_GBK" w:eastAsia="方正仿宋_GBK" w:cs="方正仿宋_GBK"/>
          <w:b w:val="0"/>
          <w:bCs w:val="0"/>
          <w:color w:val="auto"/>
          <w:sz w:val="32"/>
          <w:szCs w:val="32"/>
          <w:lang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rPr>
        <w:t>2.指导督促全州农村常住居民人均可支配收入比上年增长10%。</w:t>
      </w:r>
    </w:p>
    <w:p>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eastAsia" w:ascii="方正仿宋_GBK" w:hAnsi="方正仿宋_GBK" w:eastAsia="方正仿宋_GBK" w:cs="方正仿宋_GBK"/>
          <w:b w:val="0"/>
          <w:bCs w:val="0"/>
          <w:color w:val="auto"/>
          <w:sz w:val="32"/>
          <w:szCs w:val="32"/>
          <w:lang w:eastAsia="zh-CN"/>
        </w:rPr>
        <w:t>根据迪庆州农村经济经营管理站上报的农经报表预测全州农村常住居民人均可支配收入达</w:t>
      </w:r>
      <w:r>
        <w:rPr>
          <w:rFonts w:hint="eastAsia" w:ascii="方正仿宋_GBK" w:hAnsi="方正仿宋_GBK" w:eastAsia="方正仿宋_GBK" w:cs="方正仿宋_GBK"/>
          <w:color w:val="auto"/>
          <w:sz w:val="32"/>
          <w:szCs w:val="32"/>
          <w:lang w:val="en-US" w:eastAsia="zh-CN"/>
        </w:rPr>
        <w:t>9376</w:t>
      </w:r>
      <w:r>
        <w:rPr>
          <w:rFonts w:hint="eastAsia" w:ascii="方正仿宋_GBK" w:hAnsi="方正仿宋_GBK" w:eastAsia="方正仿宋_GBK" w:cs="方正仿宋_GBK"/>
          <w:b w:val="0"/>
          <w:bCs w:val="0"/>
          <w:color w:val="auto"/>
          <w:sz w:val="32"/>
          <w:szCs w:val="32"/>
          <w:lang w:val="en-US" w:eastAsia="zh-CN"/>
        </w:rPr>
        <w:t>元，比上年增长10%。</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val="0"/>
          <w:bCs w:val="0"/>
          <w:color w:val="auto"/>
          <w:sz w:val="32"/>
          <w:szCs w:val="32"/>
          <w:lang w:eastAsia="zh-CN"/>
        </w:rPr>
      </w:pPr>
      <w:r>
        <w:rPr>
          <w:rFonts w:hint="eastAsia" w:ascii="方正仿宋_GBK" w:hAnsi="方正仿宋_GBK" w:eastAsia="方正仿宋_GBK" w:cs="方正仿宋_GBK"/>
          <w:b/>
          <w:bCs/>
          <w:color w:val="auto"/>
          <w:sz w:val="32"/>
          <w:szCs w:val="32"/>
          <w:lang w:val="en-US" w:eastAsia="zh-CN"/>
        </w:rPr>
        <w:t>3.</w:t>
      </w:r>
      <w:r>
        <w:rPr>
          <w:rFonts w:hint="eastAsia" w:ascii="方正仿宋_GBK" w:hAnsi="方正仿宋_GBK" w:eastAsia="方正仿宋_GBK" w:cs="方正仿宋_GBK"/>
          <w:b/>
          <w:bCs/>
          <w:color w:val="auto"/>
          <w:sz w:val="32"/>
          <w:szCs w:val="32"/>
        </w:rPr>
        <w:t>指导督促全州粮食总产量达到15.1万吨。</w:t>
      </w:r>
    </w:p>
    <w:p>
      <w:pPr>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 xml:space="preserve"> </w:t>
      </w:r>
      <w:r>
        <w:rPr>
          <w:rFonts w:hint="eastAsia" w:ascii="方正仿宋_GBK" w:hAnsi="仿宋" w:eastAsia="方正仿宋_GBK" w:cs="仿宋"/>
          <w:color w:val="auto"/>
          <w:sz w:val="32"/>
          <w:szCs w:val="32"/>
        </w:rPr>
        <w:t>2019年全州农作物播种面积90万亩，粮食作物播种面积63.9万亩，</w:t>
      </w:r>
      <w:r>
        <w:rPr>
          <w:rFonts w:hint="eastAsia" w:ascii="方正仿宋_GBK" w:hAnsi="方正仿宋_GBK" w:eastAsia="方正仿宋_GBK" w:cs="方正仿宋_GBK"/>
          <w:b w:val="0"/>
          <w:bCs w:val="0"/>
          <w:color w:val="auto"/>
          <w:sz w:val="32"/>
          <w:szCs w:val="32"/>
          <w:lang w:val="en-US" w:eastAsia="zh-CN"/>
        </w:rPr>
        <w:t>比上年增长</w:t>
      </w:r>
      <w:r>
        <w:rPr>
          <w:rFonts w:hint="eastAsia" w:ascii="方正仿宋_GBK" w:hAnsi="方正仿宋_GBK" w:eastAsia="方正仿宋_GBK" w:cs="方正仿宋_GBK"/>
          <w:b w:val="0"/>
          <w:bCs/>
          <w:color w:val="auto"/>
          <w:sz w:val="32"/>
          <w:szCs w:val="32"/>
          <w:lang w:val="en-US" w:eastAsia="zh-CN"/>
        </w:rPr>
        <w:t>0.1%</w:t>
      </w:r>
      <w:r>
        <w:rPr>
          <w:rFonts w:hint="eastAsia" w:ascii="方正仿宋_GBK" w:hAnsi="仿宋" w:eastAsia="方正仿宋_GBK" w:cs="仿宋"/>
          <w:color w:val="auto"/>
          <w:sz w:val="32"/>
          <w:szCs w:val="32"/>
        </w:rPr>
        <w:t>。</w:t>
      </w:r>
      <w:r>
        <w:rPr>
          <w:rFonts w:hint="eastAsia" w:ascii="方正仿宋_GBK" w:hAnsi="方正仿宋_GBK" w:eastAsia="方正仿宋_GBK" w:cs="方正仿宋_GBK"/>
          <w:b w:val="0"/>
          <w:bCs/>
          <w:color w:val="auto"/>
          <w:sz w:val="32"/>
          <w:szCs w:val="32"/>
          <w:lang w:val="en-US" w:eastAsia="zh-CN"/>
        </w:rPr>
        <w:t>全州粮食总产预计达15.62万吨，</w:t>
      </w:r>
      <w:r>
        <w:rPr>
          <w:rFonts w:hint="eastAsia" w:ascii="方正仿宋_GBK" w:hAnsi="方正仿宋_GBK" w:eastAsia="方正仿宋_GBK" w:cs="方正仿宋_GBK"/>
          <w:b w:val="0"/>
          <w:bCs w:val="0"/>
          <w:color w:val="auto"/>
          <w:sz w:val="32"/>
          <w:szCs w:val="32"/>
          <w:lang w:val="en-US" w:eastAsia="zh-CN"/>
        </w:rPr>
        <w:t>比上年增长</w:t>
      </w:r>
      <w:r>
        <w:rPr>
          <w:rFonts w:hint="eastAsia" w:ascii="方正仿宋_GBK" w:hAnsi="方正仿宋_GBK" w:eastAsia="方正仿宋_GBK" w:cs="方正仿宋_GBK"/>
          <w:b w:val="0"/>
          <w:bCs/>
          <w:color w:val="auto"/>
          <w:sz w:val="32"/>
          <w:szCs w:val="32"/>
          <w:lang w:val="en-US" w:eastAsia="zh-CN"/>
        </w:rPr>
        <w:t>1.4%。</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lang w:val="en-US" w:eastAsia="zh-CN"/>
        </w:rPr>
        <w:t>4.</w:t>
      </w:r>
      <w:r>
        <w:rPr>
          <w:rFonts w:hint="eastAsia" w:ascii="方正仿宋_GBK" w:hAnsi="方正仿宋_GBK" w:eastAsia="方正仿宋_GBK" w:cs="方正仿宋_GBK"/>
          <w:b/>
          <w:bCs/>
          <w:color w:val="auto"/>
          <w:sz w:val="32"/>
          <w:szCs w:val="32"/>
        </w:rPr>
        <w:t>全州完成农机总动力累计达41.5万千瓦。</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color w:val="auto"/>
          <w:sz w:val="32"/>
          <w:szCs w:val="32"/>
        </w:rPr>
        <w:t>全州农机总动力</w:t>
      </w:r>
      <w:r>
        <w:rPr>
          <w:rFonts w:hint="eastAsia" w:ascii="方正仿宋_GBK" w:hAnsi="方正仿宋_GBK" w:eastAsia="方正仿宋_GBK" w:cs="方正仿宋_GBK"/>
          <w:color w:val="auto"/>
          <w:sz w:val="32"/>
          <w:szCs w:val="32"/>
          <w:lang w:eastAsia="zh-CN"/>
        </w:rPr>
        <w:t>预计达</w:t>
      </w:r>
      <w:r>
        <w:rPr>
          <w:rFonts w:hint="eastAsia" w:ascii="方正仿宋_GBK" w:hAnsi="方正仿宋_GBK" w:eastAsia="方正仿宋_GBK" w:cs="方正仿宋_GBK"/>
          <w:color w:val="auto"/>
          <w:sz w:val="32"/>
          <w:szCs w:val="32"/>
          <w:lang w:val="en-US" w:eastAsia="zh-CN"/>
        </w:rPr>
        <w:t>42.61万</w:t>
      </w:r>
      <w:r>
        <w:rPr>
          <w:rFonts w:hint="eastAsia" w:ascii="方正仿宋_GBK" w:hAnsi="方正仿宋_GBK" w:eastAsia="方正仿宋_GBK" w:cs="方正仿宋_GBK"/>
          <w:color w:val="auto"/>
          <w:sz w:val="32"/>
          <w:szCs w:val="32"/>
        </w:rPr>
        <w:t>千瓦</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b w:val="0"/>
          <w:bCs w:val="0"/>
          <w:color w:val="auto"/>
          <w:sz w:val="32"/>
          <w:szCs w:val="32"/>
          <w:lang w:val="en-US" w:eastAsia="zh-CN"/>
        </w:rPr>
        <w:t>比上年增长0.68</w:t>
      </w:r>
      <w:r>
        <w:rPr>
          <w:rFonts w:hint="eastAsia" w:ascii="方正仿宋_GBK" w:hAnsi="方正仿宋_GBK" w:eastAsia="方正仿宋_GBK" w:cs="方正仿宋_GBK"/>
          <w:b w:val="0"/>
          <w:bCs/>
          <w:color w:val="auto"/>
          <w:sz w:val="32"/>
          <w:szCs w:val="32"/>
          <w:lang w:val="en-US" w:eastAsia="zh-CN"/>
        </w:rPr>
        <w:t>%。</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rPr>
        <w:t>向上争取资金1.2亿元以上。</w:t>
      </w:r>
    </w:p>
    <w:p>
      <w:pPr>
        <w:keepNext w:val="0"/>
        <w:keepLines w:val="0"/>
        <w:pageBreakBefore w:val="0"/>
        <w:widowControl w:val="0"/>
        <w:kinsoku/>
        <w:wordWrap/>
        <w:topLinePunct w:val="0"/>
        <w:bidi w:val="0"/>
        <w:spacing w:before="0" w:beforeLines="0" w:after="0" w:afterLines="0" w:line="600" w:lineRule="exact"/>
        <w:ind w:left="0" w:leftChars="0" w:right="0" w:rightChars="0" w:firstLine="640" w:firstLineChars="200"/>
        <w:textAlignment w:val="auto"/>
        <w:outlineLvl w:val="9"/>
        <w:rPr>
          <w:rFonts w:hint="eastAsia" w:ascii="方正仿宋_GBK" w:hAnsi="方正仿宋_GBK" w:eastAsia="方正仿宋_GBK"/>
          <w:sz w:val="32"/>
          <w:lang w:eastAsia="zh-CN"/>
        </w:rPr>
      </w:pPr>
      <w:r>
        <w:rPr>
          <w:rFonts w:hint="eastAsia" w:ascii="方正仿宋_GBK" w:hAnsi="方正仿宋_GBK" w:eastAsia="方正仿宋_GBK"/>
          <w:sz w:val="32"/>
          <w:szCs w:val="32"/>
        </w:rPr>
        <w:t>2019年我局争取各类惠农强农富农补贴资金2.9亿元，其中：中央农业生产发展资金4475万元，中央农业生产救灾资金5110万元，中央农业资源及生态保护补助（非贫困县）专项资金6479.45万元，中央动物防疫等补助经费1870.86万元，2019年省级统筹整合涉农资金7973.32万元，省级农业生产发展专项资金422.88万元，重大动物疫病防控省级配套补助经费520万元，农业保险省级财政保险费补贴资金459.01万元，绿色食品“10大名品”“20佳创新企业”奖励资金110万元，行政村村委会所在地公厕改建省级补助资金500万元，农村无害化卫生户厕改建省级补助资金364.92万元，州级农牧业项目资金879万元，州级工作经费48.12万元</w:t>
      </w:r>
      <w:r>
        <w:rPr>
          <w:rFonts w:hint="eastAsia" w:ascii="方正仿宋_GBK" w:hAnsi="方正仿宋_GBK" w:eastAsia="方正仿宋_GBK"/>
          <w:sz w:val="32"/>
          <w:szCs w:val="32"/>
          <w:lang w:eastAsia="zh-CN"/>
        </w:rPr>
        <w:t>。</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b/>
          <w:bCs/>
          <w:color w:val="auto"/>
          <w:sz w:val="32"/>
          <w:szCs w:val="32"/>
          <w:lang w:val="en-US" w:eastAsia="zh-CN"/>
        </w:rPr>
        <w:t>6.</w:t>
      </w:r>
      <w:r>
        <w:rPr>
          <w:rFonts w:hint="eastAsia" w:ascii="方正仿宋_GBK" w:hAnsi="方正仿宋_GBK" w:eastAsia="方正仿宋_GBK" w:cs="方正仿宋_GBK"/>
          <w:b/>
          <w:bCs/>
          <w:color w:val="auto"/>
          <w:sz w:val="32"/>
          <w:szCs w:val="32"/>
        </w:rPr>
        <w:t>完成全州良种推广覆盖率达85%。</w:t>
      </w:r>
    </w:p>
    <w:p>
      <w:pPr>
        <w:pStyle w:val="13"/>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全州良种推广覆盖率达95%。</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lang w:val="en-US" w:eastAsia="zh-CN"/>
        </w:rPr>
        <w:t>7.</w:t>
      </w:r>
      <w:r>
        <w:rPr>
          <w:rFonts w:hint="eastAsia" w:ascii="方正仿宋_GBK" w:hAnsi="方正仿宋_GBK" w:eastAsia="方正仿宋_GBK" w:cs="方正仿宋_GBK"/>
          <w:b/>
          <w:bCs/>
          <w:color w:val="auto"/>
          <w:sz w:val="32"/>
          <w:szCs w:val="32"/>
        </w:rPr>
        <w:t>重大动物疫病应免密度100%，抗体合格率70%以上。</w:t>
      </w:r>
    </w:p>
    <w:p>
      <w:pPr>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动物防疫整村推进乡镇覆盖率达100%，高致病性禽流感、口蹄疫、小反刍兽疫</w:t>
      </w:r>
      <w:r>
        <w:rPr>
          <w:rFonts w:hint="eastAsia" w:ascii="方正仿宋_GBK" w:hAnsi="方正仿宋_GBK" w:eastAsia="方正仿宋_GBK" w:cs="方正仿宋_GBK"/>
          <w:color w:val="auto"/>
          <w:sz w:val="32"/>
          <w:szCs w:val="32"/>
        </w:rPr>
        <w:t>应免</w:t>
      </w:r>
      <w:r>
        <w:rPr>
          <w:rFonts w:hint="eastAsia" w:ascii="方正仿宋_GBK" w:hAnsi="方正仿宋_GBK" w:eastAsia="方正仿宋_GBK" w:cs="方正仿宋_GBK"/>
          <w:color w:val="auto"/>
          <w:sz w:val="32"/>
          <w:szCs w:val="32"/>
          <w:lang w:eastAsia="zh-CN"/>
        </w:rPr>
        <w:t>密度达</w:t>
      </w:r>
      <w:r>
        <w:rPr>
          <w:rFonts w:hint="eastAsia" w:ascii="方正仿宋_GBK" w:hAnsi="方正仿宋_GBK" w:eastAsia="方正仿宋_GBK" w:cs="方正仿宋_GBK"/>
          <w:color w:val="auto"/>
          <w:sz w:val="32"/>
          <w:szCs w:val="32"/>
          <w:lang w:val="en-US" w:eastAsia="zh-CN"/>
        </w:rPr>
        <w:t>100%，免疫抗体合格率达70%以上。</w:t>
      </w:r>
    </w:p>
    <w:p>
      <w:pPr>
        <w:keepNext w:val="0"/>
        <w:keepLines w:val="0"/>
        <w:pageBreakBefore w:val="0"/>
        <w:widowControl w:val="0"/>
        <w:numPr>
          <w:ilvl w:val="0"/>
          <w:numId w:val="0"/>
        </w:numPr>
        <w:shd w:val="clear" w:color="auto" w:fill="FFFFFF"/>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lang w:val="en-US" w:eastAsia="zh-CN"/>
        </w:rPr>
        <w:t>8.</w:t>
      </w:r>
      <w:r>
        <w:rPr>
          <w:rFonts w:hint="eastAsia" w:ascii="方正仿宋_GBK" w:hAnsi="方正仿宋_GBK" w:eastAsia="方正仿宋_GBK" w:cs="方正仿宋_GBK"/>
          <w:b/>
          <w:bCs/>
          <w:color w:val="auto"/>
          <w:sz w:val="32"/>
          <w:szCs w:val="32"/>
        </w:rPr>
        <w:t>生猪定点屠宰、生猪调出产地检疫率达100%。</w:t>
      </w:r>
    </w:p>
    <w:p>
      <w:pPr>
        <w:pStyle w:val="2"/>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snapToGrid/>
          <w:color w:val="auto"/>
          <w:sz w:val="32"/>
          <w:lang w:eastAsia="zh-CN"/>
        </w:rPr>
        <w:t>完成生猪屠宰检疫80293头，检出不合格生猪250头，对检出的不合格生猪均按有关规定进行无害化处理，完成生猪</w:t>
      </w:r>
      <w:r>
        <w:rPr>
          <w:rFonts w:hint="eastAsia" w:ascii="方正仿宋_GBK" w:hAnsi="方正仿宋_GBK" w:eastAsia="方正仿宋_GBK" w:cs="方正仿宋_GBK"/>
          <w:b w:val="0"/>
          <w:bCs w:val="0"/>
          <w:color w:val="auto"/>
          <w:sz w:val="32"/>
          <w:szCs w:val="32"/>
        </w:rPr>
        <w:t>调出产地检疫</w:t>
      </w:r>
      <w:r>
        <w:rPr>
          <w:rFonts w:hint="eastAsia" w:ascii="方正仿宋_GBK" w:hAnsi="方正仿宋_GBK" w:eastAsia="方正仿宋_GBK"/>
          <w:snapToGrid/>
          <w:color w:val="auto"/>
          <w:sz w:val="32"/>
          <w:lang w:eastAsia="zh-CN"/>
        </w:rPr>
        <w:t>共43702头。</w:t>
      </w:r>
      <w:r>
        <w:rPr>
          <w:rFonts w:hint="eastAsia" w:ascii="方正仿宋_GBK" w:hAnsi="方正仿宋_GBK" w:eastAsia="方正仿宋_GBK" w:cs="方正仿宋_GBK"/>
          <w:b w:val="0"/>
          <w:bCs w:val="0"/>
          <w:color w:val="auto"/>
          <w:sz w:val="32"/>
          <w:szCs w:val="32"/>
        </w:rPr>
        <w:t>生猪定点屠宰、生猪调出产地检疫率达100%。</w:t>
      </w:r>
    </w:p>
    <w:p>
      <w:pPr>
        <w:keepNext w:val="0"/>
        <w:keepLines w:val="0"/>
        <w:pageBreakBefore w:val="0"/>
        <w:widowControl w:val="0"/>
        <w:numPr>
          <w:ilvl w:val="0"/>
          <w:numId w:val="9"/>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3" w:firstLineChars="200"/>
        <w:jc w:val="both"/>
        <w:textAlignment w:val="auto"/>
        <w:outlineLvl w:val="9"/>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rPr>
        <w:t>全面完成年度精准扶贫工作任务。</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0" w:beforeLines="0" w:after="0" w:afterLines="0" w:line="600" w:lineRule="exact"/>
        <w:ind w:left="0" w:leftChars="0" w:right="0" w:rightChars="0" w:firstLine="640" w:firstLineChars="200"/>
        <w:jc w:val="both"/>
        <w:textAlignment w:val="auto"/>
        <w:outlineLvl w:val="9"/>
        <w:rPr>
          <w:rFonts w:ascii="仿宋" w:hAnsi="仿宋" w:eastAsia="仿宋"/>
          <w:sz w:val="32"/>
          <w:szCs w:val="32"/>
        </w:rPr>
      </w:pPr>
      <w:r>
        <w:rPr>
          <w:rFonts w:hint="eastAsia" w:ascii="方正仿宋_GBK" w:hAnsi="方正仿宋_GBK" w:eastAsia="方正仿宋_GBK" w:cs="方正仿宋_GBK"/>
          <w:bCs/>
          <w:color w:val="auto"/>
          <w:sz w:val="32"/>
          <w:szCs w:val="32"/>
          <w:lang w:eastAsia="zh-CN"/>
        </w:rPr>
        <w:t>一是认真履行帮扶责任，</w:t>
      </w:r>
      <w:r>
        <w:rPr>
          <w:rFonts w:hint="eastAsia" w:ascii="方正仿宋_GBK" w:hAnsi="方正仿宋_GBK" w:eastAsia="方正仿宋_GBK" w:cs="方正仿宋_GBK"/>
          <w:bCs/>
          <w:color w:val="auto"/>
          <w:sz w:val="32"/>
          <w:szCs w:val="32"/>
        </w:rPr>
        <w:t>根据</w:t>
      </w:r>
      <w:r>
        <w:rPr>
          <w:rFonts w:hint="eastAsia" w:ascii="方正仿宋_GBK" w:hAnsi="方正仿宋_GBK" w:eastAsia="方正仿宋_GBK" w:cs="方正仿宋_GBK"/>
          <w:bCs/>
          <w:color w:val="auto"/>
          <w:sz w:val="32"/>
          <w:szCs w:val="32"/>
          <w:lang w:eastAsia="zh-CN"/>
        </w:rPr>
        <w:t>迪庆州“挂包帮”、“转走访”联席会议办公室</w:t>
      </w:r>
      <w:r>
        <w:rPr>
          <w:rFonts w:hint="eastAsia" w:ascii="方正仿宋_GBK" w:hAnsi="方正仿宋_GBK" w:eastAsia="方正仿宋_GBK" w:cs="方正仿宋_GBK"/>
          <w:bCs/>
          <w:color w:val="auto"/>
          <w:sz w:val="32"/>
          <w:szCs w:val="32"/>
        </w:rPr>
        <w:t>相关要求，我局抽派的1</w:t>
      </w:r>
      <w:r>
        <w:rPr>
          <w:rFonts w:hint="eastAsia" w:ascii="方正仿宋_GBK" w:hAnsi="方正仿宋_GBK" w:eastAsia="方正仿宋_GBK" w:cs="方正仿宋_GBK"/>
          <w:bCs/>
          <w:color w:val="auto"/>
          <w:sz w:val="32"/>
          <w:szCs w:val="32"/>
          <w:lang w:val="en-US" w:eastAsia="zh-CN"/>
        </w:rPr>
        <w:t>2</w:t>
      </w:r>
      <w:r>
        <w:rPr>
          <w:rFonts w:hint="eastAsia" w:ascii="方正仿宋_GBK" w:hAnsi="方正仿宋_GBK" w:eastAsia="方正仿宋_GBK" w:cs="方正仿宋_GBK"/>
          <w:bCs/>
          <w:color w:val="auto"/>
          <w:sz w:val="32"/>
          <w:szCs w:val="32"/>
        </w:rPr>
        <w:t>名同志</w:t>
      </w:r>
      <w:r>
        <w:rPr>
          <w:rFonts w:hint="eastAsia" w:ascii="方正仿宋_GBK" w:hAnsi="方正仿宋_GBK" w:eastAsia="方正仿宋_GBK" w:cs="方正仿宋_GBK"/>
          <w:bCs/>
          <w:color w:val="auto"/>
          <w:sz w:val="32"/>
          <w:szCs w:val="32"/>
          <w:lang w:eastAsia="zh-CN"/>
        </w:rPr>
        <w:t>到农业农村系统</w:t>
      </w:r>
      <w:r>
        <w:rPr>
          <w:rFonts w:hint="eastAsia" w:ascii="方正仿宋_GBK" w:hAnsi="方正仿宋_GBK" w:eastAsia="方正仿宋_GBK" w:cs="方正仿宋_GBK"/>
          <w:bCs/>
          <w:color w:val="auto"/>
          <w:sz w:val="32"/>
          <w:szCs w:val="32"/>
        </w:rPr>
        <w:t>扶贫点维西县保和镇拉河柱村、叶枝镇倮那村、叶枝镇拉波洛村</w:t>
      </w:r>
      <w:r>
        <w:rPr>
          <w:rFonts w:hint="eastAsia" w:ascii="方正仿宋_GBK" w:hAnsi="方正仿宋_GBK" w:eastAsia="方正仿宋_GBK" w:cs="方正仿宋_GBK"/>
          <w:bCs/>
          <w:color w:val="auto"/>
          <w:sz w:val="32"/>
          <w:szCs w:val="32"/>
          <w:lang w:eastAsia="zh-CN"/>
        </w:rPr>
        <w:t>、攀天阁乡嘎嘎塘村开展驻村帮扶工作。</w:t>
      </w:r>
      <w:r>
        <w:rPr>
          <w:rFonts w:hint="eastAsia" w:ascii="方正仿宋_GBK" w:hAnsi="方正仿宋_GBK" w:eastAsia="方正仿宋_GBK" w:cs="方正仿宋_GBK"/>
          <w:b w:val="0"/>
          <w:bCs/>
          <w:color w:val="auto"/>
          <w:sz w:val="32"/>
          <w:szCs w:val="32"/>
          <w:lang w:eastAsia="zh-CN"/>
        </w:rPr>
        <w:t>二</w:t>
      </w:r>
      <w:r>
        <w:rPr>
          <w:rFonts w:hint="eastAsia" w:ascii="方正仿宋_GBK" w:hAnsi="方正仿宋_GBK" w:eastAsia="方正仿宋_GBK" w:cs="方正仿宋_GBK"/>
          <w:b w:val="0"/>
          <w:bCs/>
          <w:color w:val="auto"/>
          <w:kern w:val="2"/>
          <w:sz w:val="32"/>
          <w:szCs w:val="32"/>
          <w:lang w:val="en-US" w:eastAsia="zh-CN"/>
        </w:rPr>
        <w:t>是</w:t>
      </w:r>
      <w:r>
        <w:rPr>
          <w:rFonts w:hint="eastAsia" w:ascii="方正仿宋_GBK" w:hAnsi="方正仿宋_GBK" w:eastAsia="方正仿宋_GBK" w:cs="方正仿宋_GBK"/>
          <w:b w:val="0"/>
          <w:bCs/>
          <w:color w:val="auto"/>
          <w:sz w:val="32"/>
          <w:szCs w:val="32"/>
          <w:lang w:eastAsia="zh-CN"/>
        </w:rPr>
        <w:t>产业扶贫工作稳步推进，</w:t>
      </w:r>
      <w:r>
        <w:rPr>
          <w:rFonts w:hint="eastAsia" w:ascii="方正仿宋_GBK" w:hAnsi="方正仿宋_GBK" w:eastAsia="方正仿宋_GBK" w:cs="方正仿宋_GBK"/>
          <w:b w:val="0"/>
          <w:bCs w:val="0"/>
          <w:color w:val="auto"/>
          <w:sz w:val="32"/>
          <w:szCs w:val="32"/>
          <w:lang w:eastAsia="zh-CN"/>
        </w:rPr>
        <w:t>在</w:t>
      </w:r>
      <w:r>
        <w:rPr>
          <w:rFonts w:hint="eastAsia" w:ascii="方正仿宋_GBK" w:hAnsi="方正仿宋_GBK" w:eastAsia="方正仿宋_GBK" w:cs="方正仿宋_GBK"/>
          <w:b w:val="0"/>
          <w:bCs w:val="0"/>
          <w:color w:val="auto"/>
          <w:sz w:val="32"/>
          <w:szCs w:val="32"/>
          <w:lang w:val="en-US" w:eastAsia="zh-CN"/>
        </w:rPr>
        <w:t>迪庆州农业产业扶贫规划实施领导小组领导下，各产业推进组多次召开推进会，出台了政策措施和规划，并抓好落实，促进了农业产业扶贫工作的顺利推进。制定了《迪庆州关于建立脱贫攻坚产业发展指导员制度工作方案》，</w:t>
      </w:r>
      <w:r>
        <w:rPr>
          <w:rFonts w:hint="eastAsia" w:ascii="方正仿宋_GBK" w:hAnsi="方正仿宋_GBK" w:eastAsia="方正仿宋_GBK" w:cs="方正仿宋_GBK"/>
          <w:b w:val="0"/>
          <w:bCs w:val="0"/>
          <w:i w:val="0"/>
          <w:caps w:val="0"/>
          <w:color w:val="auto"/>
          <w:spacing w:val="0"/>
          <w:sz w:val="32"/>
          <w:szCs w:val="32"/>
          <w:shd w:val="clear" w:color="090000" w:fill="FFFFFF"/>
          <w:lang w:val="en-US" w:eastAsia="zh-CN"/>
        </w:rPr>
        <w:t>从州级、县（市）、乡镇农林牧科技推广队伍中选派294名产业指导员，对全州147个贫困村开展产业发展指导服务工作。开展产业扶贫培训31922人次，产业扶贫宣传1144场次。</w:t>
      </w:r>
      <w:r>
        <w:rPr>
          <w:rFonts w:hint="eastAsia" w:ascii="方正仿宋_GBK" w:hAnsi="方正仿宋_GBK" w:eastAsia="方正仿宋_GBK" w:cs="方正仿宋_GBK"/>
          <w:b w:val="0"/>
          <w:bCs w:val="0"/>
          <w:color w:val="auto"/>
          <w:sz w:val="32"/>
          <w:szCs w:val="32"/>
        </w:rPr>
        <w:t>全州产业扶贫</w:t>
      </w:r>
      <w:r>
        <w:rPr>
          <w:rFonts w:hint="eastAsia" w:ascii="方正仿宋_GBK" w:hAnsi="方正仿宋_GBK" w:eastAsia="方正仿宋_GBK" w:cs="方正仿宋_GBK"/>
          <w:b w:val="0"/>
          <w:bCs w:val="0"/>
          <w:color w:val="auto"/>
          <w:sz w:val="32"/>
          <w:szCs w:val="32"/>
          <w:lang w:val="en-US" w:eastAsia="zh-CN"/>
        </w:rPr>
        <w:t>资金投入稳定增长，</w:t>
      </w:r>
      <w:r>
        <w:rPr>
          <w:rFonts w:hint="eastAsia" w:ascii="方正仿宋_GBK" w:hAnsi="方正仿宋_GBK" w:eastAsia="方正仿宋_GBK" w:cs="方正仿宋_GBK"/>
          <w:color w:val="auto"/>
          <w:kern w:val="0"/>
          <w:sz w:val="32"/>
          <w:szCs w:val="32"/>
          <w:lang w:val="en-US" w:eastAsia="zh-CN"/>
        </w:rPr>
        <w:t>产业覆盖建档立卡贫困户18141户65740人，占有产业发展条件建档立卡贫困人口的99.77%；</w:t>
      </w:r>
      <w:r>
        <w:rPr>
          <w:rFonts w:hint="eastAsia" w:ascii="方正仿宋_GBK" w:hAnsi="方正仿宋_GBK" w:eastAsia="方正仿宋_GBK" w:cs="方正仿宋_GBK"/>
          <w:b w:val="0"/>
          <w:bCs w:val="0"/>
          <w:color w:val="auto"/>
          <w:sz w:val="32"/>
          <w:szCs w:val="32"/>
          <w:lang w:val="en-US" w:eastAsia="zh-CN"/>
        </w:rPr>
        <w:t>与农户间建立利益联结机制的新型经营主体数量达到545</w:t>
      </w:r>
      <w:r>
        <w:rPr>
          <w:rFonts w:hint="eastAsia" w:ascii="方正仿宋_GBK" w:hAnsi="方正仿宋_GBK" w:eastAsia="方正仿宋_GBK" w:cs="方正仿宋_GBK"/>
          <w:color w:val="auto"/>
          <w:kern w:val="0"/>
          <w:sz w:val="32"/>
          <w:szCs w:val="32"/>
          <w:lang w:val="en-US" w:eastAsia="zh-CN"/>
        </w:rPr>
        <w:t>家，带动建档立卡贫困户17523户62699人，占有产业发展条件建档立卡贫困人口的94.42%。</w:t>
      </w:r>
      <w:r>
        <w:rPr>
          <w:rFonts w:hint="eastAsia" w:ascii="方正仿宋_GBK" w:hAnsi="方正仿宋_GBK" w:eastAsia="方正仿宋_GBK" w:cs="方正仿宋_GBK"/>
          <w:color w:val="auto"/>
          <w:sz w:val="32"/>
          <w:szCs w:val="32"/>
          <w:lang w:val="en-US" w:eastAsia="zh-CN"/>
        </w:rPr>
        <w:t>全州共计投入产业发展资金7.54亿元，</w:t>
      </w:r>
      <w:r>
        <w:rPr>
          <w:rFonts w:hint="eastAsia" w:ascii="方正仿宋_GBK" w:hAnsi="方正仿宋_GBK" w:eastAsia="方正仿宋_GBK" w:cs="方正仿宋_GBK"/>
          <w:b w:val="0"/>
          <w:bCs w:val="0"/>
          <w:color w:val="auto"/>
          <w:sz w:val="32"/>
          <w:szCs w:val="32"/>
        </w:rPr>
        <w:t>占全州</w:t>
      </w:r>
      <w:r>
        <w:rPr>
          <w:rFonts w:hint="eastAsia" w:ascii="方正仿宋_GBK" w:hAnsi="方正仿宋_GBK" w:eastAsia="方正仿宋_GBK" w:cs="方正仿宋_GBK"/>
          <w:b w:val="0"/>
          <w:bCs w:val="0"/>
          <w:color w:val="auto"/>
          <w:sz w:val="32"/>
          <w:szCs w:val="32"/>
          <w:lang w:eastAsia="zh-CN"/>
        </w:rPr>
        <w:t>财政整合</w:t>
      </w:r>
      <w:r>
        <w:rPr>
          <w:rFonts w:hint="eastAsia" w:ascii="方正仿宋_GBK" w:hAnsi="方正仿宋_GBK" w:eastAsia="方正仿宋_GBK" w:cs="方正仿宋_GBK"/>
          <w:b w:val="0"/>
          <w:bCs w:val="0"/>
          <w:color w:val="auto"/>
          <w:sz w:val="32"/>
          <w:szCs w:val="32"/>
        </w:rPr>
        <w:t>扶贫资金投入的</w:t>
      </w:r>
      <w:r>
        <w:rPr>
          <w:rFonts w:hint="eastAsia" w:ascii="方正仿宋_GBK" w:hAnsi="方正仿宋_GBK" w:eastAsia="方正仿宋_GBK" w:cs="方正仿宋_GBK"/>
          <w:b w:val="0"/>
          <w:bCs w:val="0"/>
          <w:color w:val="auto"/>
          <w:sz w:val="32"/>
          <w:szCs w:val="32"/>
          <w:lang w:val="en-US" w:eastAsia="zh-CN"/>
        </w:rPr>
        <w:t>35.57</w:t>
      </w:r>
      <w:r>
        <w:rPr>
          <w:rFonts w:hint="eastAsia" w:ascii="方正仿宋_GBK" w:hAnsi="方正仿宋_GBK" w:eastAsia="方正仿宋_GBK" w:cs="方正仿宋_GBK"/>
          <w:b w:val="0"/>
          <w:bCs w:val="0"/>
          <w:color w:val="auto"/>
          <w:sz w:val="32"/>
          <w:szCs w:val="32"/>
        </w:rPr>
        <w:t>%</w:t>
      </w:r>
      <w:r>
        <w:rPr>
          <w:rFonts w:hint="eastAsia" w:ascii="方正仿宋_GBK" w:hAnsi="方正仿宋_GBK" w:eastAsia="方正仿宋_GBK" w:cs="方正仿宋_GBK"/>
          <w:b w:val="0"/>
          <w:bCs w:val="0"/>
          <w:color w:val="auto"/>
          <w:sz w:val="32"/>
          <w:szCs w:val="32"/>
          <w:lang w:eastAsia="zh-CN"/>
        </w:rPr>
        <w:t>，</w:t>
      </w:r>
      <w:r>
        <w:rPr>
          <w:rFonts w:hint="eastAsia" w:ascii="方正仿宋_GBK" w:hAnsi="方正仿宋_GBK" w:eastAsia="方正仿宋_GBK" w:cs="方正仿宋_GBK"/>
          <w:b w:val="0"/>
          <w:bCs w:val="0"/>
          <w:color w:val="auto"/>
          <w:sz w:val="32"/>
          <w:szCs w:val="32"/>
        </w:rPr>
        <w:t>全州产业扶贫</w:t>
      </w:r>
      <w:r>
        <w:rPr>
          <w:rFonts w:hint="eastAsia" w:ascii="方正仿宋_GBK" w:hAnsi="方正仿宋_GBK" w:eastAsia="方正仿宋_GBK" w:cs="方正仿宋_GBK"/>
          <w:b w:val="0"/>
          <w:bCs w:val="0"/>
          <w:color w:val="auto"/>
          <w:sz w:val="32"/>
          <w:szCs w:val="32"/>
          <w:lang w:val="en-US" w:eastAsia="zh-CN"/>
        </w:rPr>
        <w:t>资金投入形成了稳定增长的态势。</w:t>
      </w:r>
    </w:p>
    <w:p>
      <w:pPr>
        <w:topLinePunct/>
        <w:spacing w:line="520" w:lineRule="exact"/>
        <w:ind w:firstLine="800" w:firstLineChars="250"/>
        <w:rPr>
          <w:rFonts w:hint="eastAsia" w:ascii="黑体" w:hAnsi="黑体" w:eastAsia="黑体"/>
          <w:sz w:val="32"/>
          <w:szCs w:val="32"/>
        </w:rPr>
      </w:pPr>
      <w:r>
        <w:rPr>
          <w:rFonts w:hint="eastAsia" w:ascii="黑体" w:hAnsi="黑体" w:eastAsia="黑体"/>
          <w:sz w:val="32"/>
          <w:szCs w:val="32"/>
        </w:rPr>
        <w:t>五、主要经验做法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黑体" w:eastAsia="仿宋_GB2312" w:cs="Times New Roman"/>
          <w:szCs w:val="32"/>
          <w:lang w:val="en-US" w:eastAsia="zh-CN"/>
        </w:rPr>
      </w:pPr>
      <w:r>
        <w:rPr>
          <w:rFonts w:hint="eastAsia" w:ascii="仿宋_GB2312" w:hAnsi="仿宋_GB2312" w:eastAsia="仿宋_GB2312" w:cs="仿宋_GB2312"/>
          <w:sz w:val="32"/>
          <w:szCs w:val="32"/>
          <w:lang w:val="en-US" w:eastAsia="zh-CN"/>
        </w:rPr>
        <w:t>部门开展项目有健全的管理机构作为保障并明确实施主体责任；加强部门内部资金使用的监督检查，结合部门组织的目标考核、专项检查、专项督查工作中，均将项目资金的使用管理的核查作为所有考评工作的重要内容，并在项目实施完成后及时开展绩效自评。重视配合部门外部监督检查工作，如配合审计部门开展预算执行和财务收支审计工作，并对审计发现的问题积极开展整改工作。</w:t>
      </w:r>
    </w:p>
    <w:p>
      <w:pPr>
        <w:numPr>
          <w:ilvl w:val="0"/>
          <w:numId w:val="10"/>
        </w:numPr>
        <w:topLinePunct/>
        <w:spacing w:line="520" w:lineRule="exact"/>
        <w:ind w:firstLine="800" w:firstLineChars="250"/>
        <w:rPr>
          <w:rFonts w:hint="eastAsia" w:ascii="黑体" w:hAnsi="黑体" w:eastAsia="黑体"/>
          <w:sz w:val="32"/>
          <w:szCs w:val="32"/>
        </w:rPr>
      </w:pPr>
      <w:r>
        <w:rPr>
          <w:rFonts w:hint="eastAsia" w:ascii="黑体" w:hAnsi="黑体" w:eastAsia="黑体"/>
          <w:sz w:val="32"/>
          <w:szCs w:val="32"/>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资金下达到实施单位滞后，造成前期等，后期紧，错过农业生产环节，在要求的时限范围内完成资金的支付较为困难。</w:t>
      </w:r>
    </w:p>
    <w:p>
      <w:pPr>
        <w:numPr>
          <w:ilvl w:val="0"/>
          <w:numId w:val="10"/>
        </w:numPr>
        <w:topLinePunct/>
        <w:spacing w:line="520" w:lineRule="exact"/>
        <w:ind w:left="0" w:leftChars="0" w:firstLine="800" w:firstLineChars="250"/>
        <w:rPr>
          <w:rFonts w:hint="eastAsia" w:ascii="黑体" w:hAnsi="黑体" w:eastAsia="黑体"/>
          <w:sz w:val="32"/>
          <w:szCs w:val="32"/>
        </w:rPr>
      </w:pPr>
      <w:r>
        <w:rPr>
          <w:rFonts w:hint="eastAsia" w:ascii="黑体" w:hAnsi="黑体" w:eastAsia="黑体"/>
          <w:sz w:val="32"/>
          <w:szCs w:val="32"/>
        </w:rPr>
        <w:t>改进措施及建议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一是要积极落实好每项工作，争取政府支持,做到资金及时下达，不误农时；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二是要不断加强工作高素质人员队伍建设，提高工作人员管理水平和业务水平；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三是要加强农业农村问题研究，深入了解项目实施期间各方面的实际需求，整合资源以提高针对性，合理有效使用项目资金，提高项目实施效率。</w:t>
      </w: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bookmarkStart w:id="1" w:name="_GoBack"/>
      <w:bookmarkEnd w:id="1"/>
    </w:p>
    <w:p>
      <w:pPr>
        <w:pStyle w:val="2"/>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迪庆州农业农村局</w:t>
      </w:r>
    </w:p>
    <w:p>
      <w:pPr>
        <w:pStyle w:val="2"/>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2020年5月29日</w:t>
      </w:r>
    </w:p>
    <w:p>
      <w:pPr>
        <w:widowControl w:val="0"/>
        <w:numPr>
          <w:ilvl w:val="0"/>
          <w:numId w:val="0"/>
        </w:numPr>
        <w:topLinePunct/>
        <w:spacing w:line="520" w:lineRule="exact"/>
        <w:jc w:val="both"/>
        <w:rPr>
          <w:rFonts w:hint="eastAsia" w:ascii="黑体" w:hAnsi="黑体" w:eastAsia="黑体"/>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PMingLiU">
    <w:panose1 w:val="02020500000000000000"/>
    <w:charset w:val="88"/>
    <w:family w:val="roma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fldChar w:fldCharType="begin"/>
    </w:r>
    <w:r>
      <w:instrText xml:space="preserve"> PAGE   \* MERGEFORMAT </w:instrText>
    </w:r>
    <w:r>
      <w:fldChar w:fldCharType="separate"/>
    </w:r>
    <w:r>
      <w:rPr>
        <w:lang w:val="zh-CN"/>
      </w:rPr>
      <w:t>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3871F"/>
    <w:multiLevelType w:val="singleLevel"/>
    <w:tmpl w:val="A1E3871F"/>
    <w:lvl w:ilvl="0" w:tentative="0">
      <w:start w:val="2"/>
      <w:numFmt w:val="chineseCounting"/>
      <w:suff w:val="nothing"/>
      <w:lvlText w:val="（%1）"/>
      <w:lvlJc w:val="left"/>
      <w:rPr>
        <w:rFonts w:hint="eastAsia"/>
      </w:rPr>
    </w:lvl>
  </w:abstractNum>
  <w:abstractNum w:abstractNumId="1">
    <w:nsid w:val="A2D2BE9C"/>
    <w:multiLevelType w:val="singleLevel"/>
    <w:tmpl w:val="A2D2BE9C"/>
    <w:lvl w:ilvl="0" w:tentative="0">
      <w:start w:val="1"/>
      <w:numFmt w:val="decimal"/>
      <w:suff w:val="nothing"/>
      <w:lvlText w:val="%1、"/>
      <w:lvlJc w:val="left"/>
    </w:lvl>
  </w:abstractNum>
  <w:abstractNum w:abstractNumId="2">
    <w:nsid w:val="ABC47EAE"/>
    <w:multiLevelType w:val="singleLevel"/>
    <w:tmpl w:val="ABC47EAE"/>
    <w:lvl w:ilvl="0" w:tentative="0">
      <w:start w:val="2"/>
      <w:numFmt w:val="decimal"/>
      <w:lvlText w:val="%1."/>
      <w:lvlJc w:val="left"/>
      <w:pPr>
        <w:tabs>
          <w:tab w:val="left" w:pos="312"/>
        </w:tabs>
      </w:pPr>
    </w:lvl>
  </w:abstractNum>
  <w:abstractNum w:abstractNumId="3">
    <w:nsid w:val="C4803D14"/>
    <w:multiLevelType w:val="singleLevel"/>
    <w:tmpl w:val="C4803D14"/>
    <w:lvl w:ilvl="0" w:tentative="0">
      <w:start w:val="1"/>
      <w:numFmt w:val="chineseCounting"/>
      <w:suff w:val="nothing"/>
      <w:lvlText w:val="%1、"/>
      <w:lvlJc w:val="left"/>
      <w:rPr>
        <w:rFonts w:hint="eastAsia"/>
      </w:rPr>
    </w:lvl>
  </w:abstractNum>
  <w:abstractNum w:abstractNumId="4">
    <w:nsid w:val="00000009"/>
    <w:multiLevelType w:val="singleLevel"/>
    <w:tmpl w:val="00000009"/>
    <w:lvl w:ilvl="0" w:tentative="0">
      <w:start w:val="5"/>
      <w:numFmt w:val="decimal"/>
      <w:suff w:val="nothing"/>
      <w:lvlText w:val="%1."/>
      <w:lvlJc w:val="left"/>
    </w:lvl>
  </w:abstractNum>
  <w:abstractNum w:abstractNumId="5">
    <w:nsid w:val="0000000E"/>
    <w:multiLevelType w:val="singleLevel"/>
    <w:tmpl w:val="0000000E"/>
    <w:lvl w:ilvl="0" w:tentative="0">
      <w:start w:val="9"/>
      <w:numFmt w:val="decimal"/>
      <w:suff w:val="nothing"/>
      <w:lvlText w:val="%1."/>
      <w:lvlJc w:val="left"/>
    </w:lvl>
  </w:abstractNum>
  <w:abstractNum w:abstractNumId="6">
    <w:nsid w:val="3B1CE361"/>
    <w:multiLevelType w:val="singleLevel"/>
    <w:tmpl w:val="3B1CE361"/>
    <w:lvl w:ilvl="0" w:tentative="0">
      <w:start w:val="2"/>
      <w:numFmt w:val="decimal"/>
      <w:lvlText w:val="%1."/>
      <w:lvlJc w:val="left"/>
      <w:pPr>
        <w:tabs>
          <w:tab w:val="left" w:pos="312"/>
        </w:tabs>
      </w:pPr>
    </w:lvl>
  </w:abstractNum>
  <w:abstractNum w:abstractNumId="7">
    <w:nsid w:val="51568E86"/>
    <w:multiLevelType w:val="singleLevel"/>
    <w:tmpl w:val="51568E86"/>
    <w:lvl w:ilvl="0" w:tentative="0">
      <w:start w:val="2"/>
      <w:numFmt w:val="decimal"/>
      <w:lvlText w:val="%1."/>
      <w:lvlJc w:val="left"/>
      <w:pPr>
        <w:tabs>
          <w:tab w:val="left" w:pos="312"/>
        </w:tabs>
      </w:pPr>
    </w:lvl>
  </w:abstractNum>
  <w:abstractNum w:abstractNumId="8">
    <w:nsid w:val="5EB5B4C7"/>
    <w:multiLevelType w:val="singleLevel"/>
    <w:tmpl w:val="5EB5B4C7"/>
    <w:lvl w:ilvl="0" w:tentative="0">
      <w:start w:val="2"/>
      <w:numFmt w:val="chineseCounting"/>
      <w:suff w:val="nothing"/>
      <w:lvlText w:val="（%1）"/>
      <w:lvlJc w:val="left"/>
      <w:rPr>
        <w:rFonts w:hint="eastAsia"/>
      </w:rPr>
    </w:lvl>
  </w:abstractNum>
  <w:abstractNum w:abstractNumId="9">
    <w:nsid w:val="780C737E"/>
    <w:multiLevelType w:val="singleLevel"/>
    <w:tmpl w:val="780C737E"/>
    <w:lvl w:ilvl="0" w:tentative="0">
      <w:start w:val="6"/>
      <w:numFmt w:val="chineseCounting"/>
      <w:suff w:val="nothing"/>
      <w:lvlText w:val="%1、"/>
      <w:lvlJc w:val="left"/>
      <w:rPr>
        <w:rFonts w:hint="eastAsia"/>
      </w:rPr>
    </w:lvl>
  </w:abstractNum>
  <w:num w:numId="1">
    <w:abstractNumId w:val="3"/>
  </w:num>
  <w:num w:numId="2">
    <w:abstractNumId w:val="1"/>
  </w:num>
  <w:num w:numId="3">
    <w:abstractNumId w:val="7"/>
  </w:num>
  <w:num w:numId="4">
    <w:abstractNumId w:val="6"/>
  </w:num>
  <w:num w:numId="5">
    <w:abstractNumId w:val="0"/>
  </w:num>
  <w:num w:numId="6">
    <w:abstractNumId w:val="2"/>
  </w:num>
  <w:num w:numId="7">
    <w:abstractNumId w:val="8"/>
  </w:num>
  <w:num w:numId="8">
    <w:abstractNumId w:val="4"/>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EA5"/>
    <w:rsid w:val="004239A6"/>
    <w:rsid w:val="00554C1C"/>
    <w:rsid w:val="005E64E0"/>
    <w:rsid w:val="00825EA5"/>
    <w:rsid w:val="00955772"/>
    <w:rsid w:val="00D822B8"/>
    <w:rsid w:val="00DC57B3"/>
    <w:rsid w:val="00E71ED4"/>
    <w:rsid w:val="05651BAD"/>
    <w:rsid w:val="09177207"/>
    <w:rsid w:val="0F2B4A08"/>
    <w:rsid w:val="0F9D74ED"/>
    <w:rsid w:val="129313F5"/>
    <w:rsid w:val="13AF486F"/>
    <w:rsid w:val="182E7466"/>
    <w:rsid w:val="1E241190"/>
    <w:rsid w:val="282D4E69"/>
    <w:rsid w:val="2DE560B3"/>
    <w:rsid w:val="2DE63907"/>
    <w:rsid w:val="333B4227"/>
    <w:rsid w:val="334C5195"/>
    <w:rsid w:val="3C4169CB"/>
    <w:rsid w:val="3F9A045B"/>
    <w:rsid w:val="43E35846"/>
    <w:rsid w:val="460E13B4"/>
    <w:rsid w:val="4BDF1929"/>
    <w:rsid w:val="4CC22C62"/>
    <w:rsid w:val="4CF44EDC"/>
    <w:rsid w:val="4EDA4FF2"/>
    <w:rsid w:val="527F6B1C"/>
    <w:rsid w:val="553721AE"/>
    <w:rsid w:val="5BBD19F8"/>
    <w:rsid w:val="62D22405"/>
    <w:rsid w:val="6A627793"/>
    <w:rsid w:val="6CA739EC"/>
    <w:rsid w:val="6D471B8A"/>
    <w:rsid w:val="71822FCF"/>
    <w:rsid w:val="76414E71"/>
    <w:rsid w:val="7DF56347"/>
    <w:rsid w:val="7FCF7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Normal Indent1"/>
    <w:basedOn w:val="1"/>
    <w:qFormat/>
    <w:uiPriority w:val="0"/>
    <w:pPr>
      <w:ind w:firstLine="420" w:firstLineChars="200"/>
    </w:p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qFormat/>
    <w:uiPriority w:val="0"/>
    <w:rPr>
      <w:rFonts w:ascii="Calibri" w:hAnsi="Calibri" w:eastAsia="宋体" w:cs="Times New Roman"/>
      <w:b/>
      <w:bCs/>
    </w:rPr>
  </w:style>
  <w:style w:type="character" w:customStyle="1" w:styleId="9">
    <w:name w:val="页脚 Char"/>
    <w:basedOn w:val="7"/>
    <w:link w:val="4"/>
    <w:qFormat/>
    <w:uiPriority w:val="99"/>
    <w:rPr>
      <w:rFonts w:ascii="Calibri" w:hAnsi="Calibri" w:eastAsia="宋体" w:cs="Times New Roman"/>
      <w:sz w:val="18"/>
      <w:szCs w:val="18"/>
    </w:rPr>
  </w:style>
  <w:style w:type="paragraph" w:customStyle="1" w:styleId="10">
    <w:name w:val="TOC 标题1"/>
    <w:basedOn w:val="3"/>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1">
    <w:name w:val="正文 A"/>
    <w:qFormat/>
    <w:uiPriority w:val="99"/>
    <w:pPr>
      <w:spacing w:after="200" w:line="276" w:lineRule="auto"/>
    </w:pPr>
    <w:rPr>
      <w:rFonts w:ascii="Calibri" w:hAnsi="Calibri" w:eastAsia="宋体" w:cs="Calibri"/>
      <w:color w:val="000000"/>
      <w:kern w:val="0"/>
      <w:sz w:val="22"/>
      <w:szCs w:val="22"/>
      <w:u w:color="000000"/>
      <w:lang w:val="en-US" w:eastAsia="zh-CN" w:bidi="ar-SA"/>
    </w:rPr>
  </w:style>
  <w:style w:type="character" w:customStyle="1" w:styleId="12">
    <w:name w:val="标题 1 Char"/>
    <w:basedOn w:val="7"/>
    <w:link w:val="3"/>
    <w:qFormat/>
    <w:uiPriority w:val="9"/>
    <w:rPr>
      <w:rFonts w:ascii="Calibri" w:hAnsi="Calibri" w:eastAsia="宋体" w:cs="Times New Roman"/>
      <w:b/>
      <w:bCs/>
      <w:kern w:val="44"/>
      <w:sz w:val="44"/>
      <w:szCs w:val="44"/>
    </w:rPr>
  </w:style>
  <w:style w:type="paragraph" w:customStyle="1" w:styleId="13">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229</Words>
  <Characters>1307</Characters>
  <Lines>10</Lines>
  <Paragraphs>3</Paragraphs>
  <TotalTime>5</TotalTime>
  <ScaleCrop>false</ScaleCrop>
  <LinksUpToDate>false</LinksUpToDate>
  <CharactersWithSpaces>1533</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2019-07-23T09:12:00Z</dcterms:created>
  <dc:creator>Yuanjun</dc:creator>
  <cp:lastModifiedBy>陈二娣</cp:lastModifiedBy>
  <cp:lastPrinted>2020-05-29T02:04:49Z</cp:lastPrinted>
  <dcterms:modified xsi:type="dcterms:W3CDTF">2020-05-29T02:07:51Z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