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rPr>
          <w:rFonts w:hint="eastAsia" w:ascii="华文仿宋" w:hAnsi="华文仿宋" w:eastAsia="华文仿宋"/>
          <w:sz w:val="32"/>
          <w:szCs w:val="32"/>
        </w:rPr>
      </w:pPr>
      <w:r>
        <w:rPr>
          <w:rFonts w:hint="eastAsia" w:ascii="华文仿宋" w:hAnsi="华文仿宋" w:eastAsia="华文仿宋"/>
          <w:sz w:val="32"/>
          <w:szCs w:val="32"/>
        </w:rPr>
        <w:drawing>
          <wp:inline distT="0" distB="0" distL="114300" distR="114300">
            <wp:extent cx="5542280" cy="1289050"/>
            <wp:effectExtent l="0" t="0" r="1270" b="6350"/>
            <wp:docPr id="2" name="图片 1" descr="QQ截图20150205163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截图20150205163635"/>
                    <pic:cNvPicPr>
                      <a:picLocks noChangeAspect="1"/>
                    </pic:cNvPicPr>
                  </pic:nvPicPr>
                  <pic:blipFill>
                    <a:blip r:embed="rId5"/>
                    <a:stretch>
                      <a:fillRect/>
                    </a:stretch>
                  </pic:blipFill>
                  <pic:spPr>
                    <a:xfrm>
                      <a:off x="0" y="0"/>
                      <a:ext cx="5542280" cy="1289050"/>
                    </a:xfrm>
                    <a:prstGeom prst="rect">
                      <a:avLst/>
                    </a:prstGeom>
                    <a:noFill/>
                    <a:ln w="9525">
                      <a:noFill/>
                    </a:ln>
                    <a:effectLst/>
                  </pic:spPr>
                </pic:pic>
              </a:graphicData>
            </a:graphic>
          </wp:inline>
        </w:drawing>
      </w:r>
    </w:p>
    <w:p>
      <w:pPr>
        <w:rPr>
          <w:rFonts w:hint="eastAsia" w:ascii="华文仿宋" w:hAnsi="华文仿宋" w:eastAsia="华文仿宋"/>
          <w:sz w:val="32"/>
          <w:szCs w:val="32"/>
        </w:rPr>
      </w:pPr>
    </w:p>
    <w:p>
      <w:pPr>
        <w:jc w:val="center"/>
        <w:rPr>
          <w:rFonts w:hint="eastAsia" w:ascii="仿宋_GB2312" w:hAnsi="仿宋_GB2312" w:eastAsia="仿宋_GB2312" w:cs="仿宋_GB2312"/>
          <w:sz w:val="32"/>
          <w:lang w:val="en-US" w:eastAsia="zh-CN"/>
        </w:rPr>
      </w:pPr>
      <w:r>
        <w:rPr>
          <w:rFonts w:hint="eastAsia" w:ascii="仿宋" w:hAnsi="仿宋" w:eastAsia="仿宋"/>
          <w:sz w:val="32"/>
          <w:lang w:val="en-US" w:eastAsia="zh-CN"/>
        </w:rPr>
        <w:t xml:space="preserve">迪民发〔2020〕45号                  </w:t>
      </w:r>
      <w:r>
        <w:rPr>
          <w:rFonts w:hint="eastAsia" w:ascii="仿宋_GB2312" w:hAnsi="仿宋_GB2312" w:eastAsia="仿宋_GB2312" w:cs="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323215</wp:posOffset>
                </wp:positionV>
                <wp:extent cx="5436870" cy="635"/>
                <wp:effectExtent l="0" t="19050" r="11430" b="37465"/>
                <wp:wrapNone/>
                <wp:docPr id="5" name="直线 7"/>
                <wp:cNvGraphicFramePr/>
                <a:graphic xmlns:a="http://schemas.openxmlformats.org/drawingml/2006/main">
                  <a:graphicData uri="http://schemas.microsoft.com/office/word/2010/wordprocessingShape">
                    <wps:wsp>
                      <wps:cNvCnPr/>
                      <wps:spPr>
                        <a:xfrm>
                          <a:off x="0" y="0"/>
                          <a:ext cx="5436870" cy="635"/>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1.1pt;margin-top:25.45pt;height:0.05pt;width:428.1pt;z-index:251662336;mso-width-relative:page;mso-height-relative:page;" filled="f" stroked="t" coordsize="21600,21600" o:gfxdata="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zYqNr2AAAAAcBAAAPAAAAAAAAAAEA&#10;IAAAACIAAABkcnMvZG93bnJldi54bWxQSwECFAAUAAAACACHTuJAxduzetYBAACeAwAADgAAAAAA&#10;AAABACAAAAAnAQAAZHJzL2Uyb0RvYy54bWxQSwUGAAAAAAYABgBZAQAAbw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仿宋" w:hAnsi="仿宋" w:eastAsia="仿宋" w:cs="仿宋"/>
          <w:sz w:val="32"/>
          <w:szCs w:val="32"/>
          <w:lang w:eastAsia="zh-CN"/>
        </w:rPr>
      </w:pPr>
    </w:p>
    <w:p>
      <w:pPr>
        <w:ind w:left="0" w:leftChars="0" w:right="0" w:rightChars="0" w:firstLine="0" w:firstLineChars="0"/>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eastAsia="zh-CN"/>
        </w:rPr>
        <w:t>关于提前下达</w:t>
      </w:r>
      <w:r>
        <w:rPr>
          <w:rFonts w:hint="eastAsia" w:asciiTheme="majorEastAsia" w:hAnsiTheme="majorEastAsia" w:eastAsiaTheme="majorEastAsia" w:cstheme="majorEastAsia"/>
          <w:b/>
          <w:bCs/>
          <w:sz w:val="44"/>
          <w:szCs w:val="44"/>
          <w:lang w:val="en-US" w:eastAsia="zh-CN"/>
        </w:rPr>
        <w:t>2020年中央集中福彩公益金</w:t>
      </w:r>
    </w:p>
    <w:p>
      <w:pPr>
        <w:ind w:left="0" w:leftChars="0" w:right="0" w:rightChars="0" w:firstLine="0" w:firstLineChars="0"/>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i w:val="0"/>
          <w:color w:val="000000"/>
          <w:kern w:val="0"/>
          <w:sz w:val="44"/>
          <w:szCs w:val="44"/>
          <w:u w:val="none"/>
          <w:lang w:val="en-US" w:eastAsia="zh-CN" w:bidi="ar"/>
        </w:rPr>
        <w:t>使</w:t>
      </w:r>
      <w:bookmarkStart w:id="0" w:name="_GoBack"/>
      <w:bookmarkEnd w:id="0"/>
      <w:r>
        <w:rPr>
          <w:rFonts w:hint="eastAsia" w:asciiTheme="majorEastAsia" w:hAnsiTheme="majorEastAsia" w:eastAsiaTheme="majorEastAsia" w:cstheme="majorEastAsia"/>
          <w:b/>
          <w:bCs/>
          <w:i w:val="0"/>
          <w:color w:val="000000"/>
          <w:kern w:val="0"/>
          <w:sz w:val="44"/>
          <w:szCs w:val="44"/>
          <w:u w:val="none"/>
          <w:lang w:val="en-US" w:eastAsia="zh-CN" w:bidi="ar"/>
        </w:rPr>
        <w:t>用计划</w:t>
      </w:r>
      <w:r>
        <w:rPr>
          <w:rFonts w:hint="eastAsia" w:asciiTheme="majorEastAsia" w:hAnsiTheme="majorEastAsia" w:eastAsiaTheme="majorEastAsia" w:cstheme="majorEastAsia"/>
          <w:b/>
          <w:bCs/>
          <w:sz w:val="44"/>
          <w:szCs w:val="44"/>
          <w:lang w:val="en-US" w:eastAsia="zh-CN"/>
        </w:rPr>
        <w:t>的通知</w:t>
      </w:r>
    </w:p>
    <w:p>
      <w:pPr>
        <w:jc w:val="both"/>
        <w:rPr>
          <w:rFonts w:hint="eastAsia" w:ascii="仿宋_GB2312" w:hAnsi="仿宋_GB2312" w:eastAsia="仿宋_GB2312" w:cs="宋体"/>
          <w:b/>
          <w:bCs/>
          <w:sz w:val="44"/>
          <w:szCs w:val="44"/>
          <w:lang w:eastAsia="zh-CN"/>
        </w:rPr>
      </w:pP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三县市民政局、迪庆州儿童福利院：</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根据《迪庆州财政局 迪庆州民政局关于下达2020年中央集中彩票公益金支持社会福利事业专项资金的通知》（迪财社〔2020〕62号）文件精神，综合分析2020年民政工作重点及“十件惠民实事”目标任务，经局党组研究，现将2020年中央集中彩票公益金支持社会福利事业专项资金使用计划下达给你们，资金具体使用计划明细表详见附表。 </w:t>
      </w:r>
    </w:p>
    <w:p>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各县（市）民政局，迪庆州儿童福利院要根据《彩票管理条例》（国务院令第554号）、《云南省彩票公益金管理办法》（财综〔</w:t>
      </w:r>
      <w:r>
        <w:rPr>
          <w:rFonts w:hint="eastAsia" w:ascii="宋体" w:hAnsi="宋体" w:cs="宋体"/>
          <w:b w:val="0"/>
          <w:bCs w:val="0"/>
          <w:sz w:val="32"/>
          <w:szCs w:val="32"/>
          <w:lang w:val="en-US" w:eastAsia="zh-CN"/>
        </w:rPr>
        <w:t>2009</w:t>
      </w:r>
      <w:r>
        <w:rPr>
          <w:rFonts w:hint="eastAsia" w:ascii="仿宋_GB2312" w:hAnsi="仿宋_GB2312" w:eastAsia="仿宋_GB2312" w:cs="仿宋_GB2312"/>
          <w:b w:val="0"/>
          <w:bCs w:val="0"/>
          <w:sz w:val="32"/>
          <w:szCs w:val="32"/>
          <w:lang w:val="en-US" w:eastAsia="zh-CN"/>
        </w:rPr>
        <w:t>〕</w:t>
      </w:r>
      <w:r>
        <w:rPr>
          <w:rFonts w:hint="eastAsia" w:ascii="宋体" w:hAnsi="宋体" w:cs="宋体"/>
          <w:b w:val="0"/>
          <w:bCs w:val="0"/>
          <w:sz w:val="32"/>
          <w:szCs w:val="32"/>
          <w:lang w:val="en-US" w:eastAsia="zh-CN"/>
        </w:rPr>
        <w:t>83号</w:t>
      </w:r>
      <w:r>
        <w:rPr>
          <w:rFonts w:hint="eastAsia" w:ascii="仿宋_GB2312" w:hAnsi="仿宋_GB2312" w:eastAsia="仿宋_GB2312" w:cs="仿宋_GB2312"/>
          <w:b w:val="0"/>
          <w:bCs w:val="0"/>
          <w:sz w:val="32"/>
          <w:szCs w:val="32"/>
          <w:lang w:val="en-US" w:eastAsia="zh-CN"/>
        </w:rPr>
        <w:t>）和《云南省财政厅 云南省民政厅关于印发〈云南省民政部门彩票公益金支持社会福利事业资金使用管理办法〉的通知》（财综〔</w:t>
      </w:r>
      <w:r>
        <w:rPr>
          <w:rFonts w:hint="eastAsia" w:ascii="宋体" w:hAnsi="宋体" w:cs="宋体"/>
          <w:b w:val="0"/>
          <w:bCs w:val="0"/>
          <w:sz w:val="32"/>
          <w:szCs w:val="32"/>
          <w:lang w:val="en-US" w:eastAsia="zh-CN"/>
        </w:rPr>
        <w:t>2018</w:t>
      </w:r>
      <w:r>
        <w:rPr>
          <w:rFonts w:hint="eastAsia" w:ascii="仿宋_GB2312" w:hAnsi="仿宋_GB2312" w:eastAsia="仿宋_GB2312" w:cs="仿宋_GB2312"/>
          <w:b w:val="0"/>
          <w:bCs w:val="0"/>
          <w:sz w:val="32"/>
          <w:szCs w:val="32"/>
          <w:lang w:val="en-US" w:eastAsia="zh-CN"/>
        </w:rPr>
        <w:t>〕</w:t>
      </w:r>
      <w:r>
        <w:rPr>
          <w:rFonts w:hint="eastAsia" w:ascii="宋体" w:hAnsi="宋体" w:cs="宋体"/>
          <w:b w:val="0"/>
          <w:bCs w:val="0"/>
          <w:sz w:val="32"/>
          <w:szCs w:val="32"/>
          <w:lang w:val="en-US" w:eastAsia="zh-CN"/>
        </w:rPr>
        <w:t>32号</w:t>
      </w:r>
      <w:r>
        <w:rPr>
          <w:rFonts w:hint="eastAsia" w:ascii="仿宋_GB2312" w:hAnsi="仿宋_GB2312" w:eastAsia="仿宋_GB2312" w:cs="仿宋_GB2312"/>
          <w:b w:val="0"/>
          <w:bCs w:val="0"/>
          <w:sz w:val="32"/>
          <w:szCs w:val="32"/>
          <w:lang w:val="en-US" w:eastAsia="zh-CN"/>
        </w:rPr>
        <w:t>）等规定，加强和规范对彩票公益金的使用管理，严格按照资金使用计划及项目进度拨付建设资金,做到专款专用，确实提高资金使用效益。请各部门收到本通知之日起，每季度月未上报资金使用情况。过时不报的将影响以后年度的资金分配。</w:t>
      </w:r>
    </w:p>
    <w:p>
      <w:pPr>
        <w:ind w:firstLine="640" w:firstLineChars="200"/>
        <w:jc w:val="left"/>
        <w:rPr>
          <w:rFonts w:hint="eastAsia" w:ascii="仿宋_GB2312" w:hAnsi="仿宋_GB2312" w:eastAsia="仿宋_GB2312" w:cs="仿宋_GB2312"/>
          <w:b w:val="0"/>
          <w:bCs w:val="0"/>
          <w:sz w:val="32"/>
          <w:szCs w:val="32"/>
          <w:lang w:val="en-US" w:eastAsia="zh-CN"/>
        </w:rPr>
      </w:pPr>
    </w:p>
    <w:p>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联系电话：0887－8230358。</w:t>
      </w:r>
    </w:p>
    <w:p>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r>
        <w:rPr>
          <w:rFonts w:hint="eastAsia" w:ascii="仿宋" w:hAnsi="仿宋" w:eastAsia="仿宋" w:cs="仿宋"/>
          <w:b w:val="0"/>
          <w:bCs w:val="0"/>
          <w:sz w:val="32"/>
          <w:szCs w:val="32"/>
          <w:lang w:val="en-US" w:eastAsia="zh-CN"/>
        </w:rPr>
        <w:t>2020年中央集中彩票公益金支持社会福利事业专项资金使用计划</w:t>
      </w:r>
      <w:r>
        <w:rPr>
          <w:rFonts w:hint="eastAsia" w:ascii="仿宋_GB2312" w:hAnsi="仿宋_GB2312" w:eastAsia="仿宋_GB2312" w:cs="仿宋_GB2312"/>
          <w:b w:val="0"/>
          <w:bCs w:val="0"/>
          <w:sz w:val="32"/>
          <w:szCs w:val="32"/>
          <w:lang w:val="en-US" w:eastAsia="zh-CN"/>
        </w:rPr>
        <w:t>明细表</w:t>
      </w:r>
    </w:p>
    <w:p>
      <w:pPr>
        <w:ind w:firstLine="640" w:firstLineChars="200"/>
        <w:jc w:val="left"/>
        <w:rPr>
          <w:rFonts w:hint="eastAsia" w:ascii="仿宋_GB2312" w:hAnsi="仿宋_GB2312" w:eastAsia="仿宋_GB2312" w:cs="仿宋_GB2312"/>
          <w:b w:val="0"/>
          <w:bCs w:val="0"/>
          <w:sz w:val="32"/>
          <w:szCs w:val="32"/>
          <w:lang w:val="en-US" w:eastAsia="zh-CN"/>
        </w:rPr>
      </w:pPr>
    </w:p>
    <w:p>
      <w:pPr>
        <w:ind w:firstLine="640" w:firstLineChars="200"/>
        <w:jc w:val="left"/>
        <w:rPr>
          <w:rFonts w:hint="eastAsia" w:ascii="仿宋_GB2312" w:hAnsi="仿宋_GB2312" w:eastAsia="仿宋_GB2312" w:cs="仿宋_GB2312"/>
          <w:b w:val="0"/>
          <w:bCs w:val="0"/>
          <w:sz w:val="32"/>
          <w:szCs w:val="32"/>
          <w:lang w:val="en-US" w:eastAsia="zh-CN"/>
        </w:rPr>
      </w:pPr>
    </w:p>
    <w:p>
      <w:pPr>
        <w:numPr>
          <w:ilvl w:val="0"/>
          <w:numId w:val="0"/>
        </w:numPr>
        <w:ind w:right="0" w:rightChars="0" w:firstLine="4800" w:firstLineChars="15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迪庆州民政局</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2020年6月22日</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60" w:lineRule="exact"/>
        <w:ind w:left="959" w:leftChars="152" w:right="-1052" w:rightChars="-501" w:hanging="640" w:hanging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81792" behindDoc="0" locked="0" layoutInCell="1" allowOverlap="1">
                <wp:simplePos x="0" y="0"/>
                <wp:positionH relativeFrom="column">
                  <wp:posOffset>43815</wp:posOffset>
                </wp:positionH>
                <wp:positionV relativeFrom="paragraph">
                  <wp:posOffset>103505</wp:posOffset>
                </wp:positionV>
                <wp:extent cx="5255895" cy="11430"/>
                <wp:effectExtent l="0" t="9525" r="1905" b="17145"/>
                <wp:wrapNone/>
                <wp:docPr id="3" name="直线 3"/>
                <wp:cNvGraphicFramePr/>
                <a:graphic xmlns:a="http://schemas.openxmlformats.org/drawingml/2006/main">
                  <a:graphicData uri="http://schemas.microsoft.com/office/word/2010/wordprocessingShape">
                    <wps:wsp>
                      <wps:cNvCnPr/>
                      <wps:spPr>
                        <a:xfrm>
                          <a:off x="0" y="0"/>
                          <a:ext cx="5255895" cy="11430"/>
                        </a:xfrm>
                        <a:prstGeom prst="line">
                          <a:avLst/>
                        </a:prstGeom>
                        <a:ln>
                          <a:headEnd type="none" w="med" len="med"/>
                          <a:tailEnd type="none" w="med" len="med"/>
                        </a:ln>
                      </wps:spPr>
                      <wps:style>
                        <a:lnRef idx="3">
                          <a:schemeClr val="dk1"/>
                        </a:lnRef>
                        <a:fillRef idx="0">
                          <a:schemeClr val="dk1"/>
                        </a:fillRef>
                        <a:effectRef idx="2">
                          <a:schemeClr val="dk1"/>
                        </a:effectRef>
                        <a:fontRef idx="minor">
                          <a:schemeClr val="tx1"/>
                        </a:fontRef>
                      </wps:style>
                      <wps:bodyPr upright="1"/>
                    </wps:wsp>
                  </a:graphicData>
                </a:graphic>
              </wp:anchor>
            </w:drawing>
          </mc:Choice>
          <mc:Fallback>
            <w:pict>
              <v:line id="直线 3" o:spid="_x0000_s1026" o:spt="20" style="position:absolute;left:0pt;margin-left:3.45pt;margin-top:8.15pt;height:0.9pt;width:413.85pt;z-index:251681792;mso-width-relative:page;mso-height-relative:page;" filled="f" stroked="t" coordsize="21600,21600" o:gfxdata="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LF3LV&#10;AAAABwEAAA8AAAAAAAAAAQAgAAAAIgAAAGRycy9kb3ducmV2LnhtbFBLAQIUABQAAAAIAIdO4kAw&#10;jUDn6gEAAL8DAAAOAAAAAAAAAAEAIAAAACQBAABkcnMvZTJvRG9jLnhtbFBLBQYAAAAABgAGAFkB&#10;AACABQAAAAA=&#10;">
                <v:fill on="f" focussize="0,0"/>
                <v:stroke weight="1.5pt" color="#000000 [3200]" miterlimit="8" joinstyle="miter"/>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9744" behindDoc="0" locked="0" layoutInCell="1" allowOverlap="1">
                <wp:simplePos x="0" y="0"/>
                <wp:positionH relativeFrom="column">
                  <wp:posOffset>38100</wp:posOffset>
                </wp:positionH>
                <wp:positionV relativeFrom="paragraph">
                  <wp:posOffset>417830</wp:posOffset>
                </wp:positionV>
                <wp:extent cx="5261610" cy="5715"/>
                <wp:effectExtent l="0" t="9525" r="15240" b="13335"/>
                <wp:wrapNone/>
                <wp:docPr id="4" name="直线 4"/>
                <wp:cNvGraphicFramePr/>
                <a:graphic xmlns:a="http://schemas.openxmlformats.org/drawingml/2006/main">
                  <a:graphicData uri="http://schemas.microsoft.com/office/word/2010/wordprocessingShape">
                    <wps:wsp>
                      <wps:cNvCnPr/>
                      <wps:spPr>
                        <a:xfrm flipV="1">
                          <a:off x="0" y="0"/>
                          <a:ext cx="5261610" cy="5715"/>
                        </a:xfrm>
                        <a:prstGeom prst="line">
                          <a:avLst/>
                        </a:prstGeom>
                        <a:ln>
                          <a:headEnd type="none" w="med" len="med"/>
                          <a:tailEnd type="none" w="med" len="med"/>
                        </a:ln>
                      </wps:spPr>
                      <wps:style>
                        <a:lnRef idx="3">
                          <a:schemeClr val="dk1"/>
                        </a:lnRef>
                        <a:fillRef idx="0">
                          <a:schemeClr val="dk1"/>
                        </a:fillRef>
                        <a:effectRef idx="2">
                          <a:schemeClr val="dk1"/>
                        </a:effectRef>
                        <a:fontRef idx="minor">
                          <a:schemeClr val="tx1"/>
                        </a:fontRef>
                      </wps:style>
                      <wps:bodyPr upright="1"/>
                    </wps:wsp>
                  </a:graphicData>
                </a:graphic>
              </wp:anchor>
            </w:drawing>
          </mc:Choice>
          <mc:Fallback>
            <w:pict>
              <v:line id="直线 4" o:spid="_x0000_s1026" o:spt="20" style="position:absolute;left:0pt;flip:y;margin-left:3pt;margin-top:32.9pt;height:0.45pt;width:414.3pt;z-index:251679744;mso-width-relative:page;mso-height-relative:page;" filled="f" stroked="t" coordsize="21600,21600" o:gfxdata="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D0Zd9YAAAAHAQAADwAAAAAAAAABACAAAAAiAAAAZHJzL2Rvd25yZXYueG1sUEsBAhQAFAAAAAgA&#10;h07iQAYQMaHuAQAAyAMAAA4AAAAAAAAAAQAgAAAAJQEAAGRycy9lMm9Eb2MueG1sUEsFBgAAAAAG&#10;AAYAWQEAAIUFAAAAAA==&#10;">
                <v:fill on="f" focussize="0,0"/>
                <v:stroke weight="1.5pt" color="#000000 [3200]" miterlimit="8" joinstyle="miter"/>
                <v:imagedata o:title=""/>
                <o:lock v:ext="edit" aspectratio="f"/>
              </v:line>
            </w:pict>
          </mc:Fallback>
        </mc:AlternateContent>
      </w:r>
      <w:r>
        <w:rPr>
          <w:rFonts w:hint="eastAsia" w:ascii="仿宋_GB2312" w:hAnsi="仿宋_GB2312" w:eastAsia="仿宋_GB2312" w:cs="仿宋_GB2312"/>
          <w:sz w:val="32"/>
          <w:szCs w:val="32"/>
        </w:rPr>
        <w:t>迪庆州</w:t>
      </w:r>
      <w:r>
        <w:rPr>
          <w:rFonts w:hint="eastAsia" w:ascii="仿宋_GB2312" w:hAnsi="仿宋_GB2312" w:eastAsia="仿宋_GB2312" w:cs="仿宋_GB2312"/>
          <w:sz w:val="32"/>
          <w:szCs w:val="32"/>
          <w:lang w:eastAsia="zh-CN"/>
        </w:rPr>
        <w:t>民政局</w:t>
      </w:r>
      <w:r>
        <w:rPr>
          <w:rFonts w:hint="eastAsia" w:ascii="仿宋_GB2312" w:hAnsi="仿宋_GB2312" w:eastAsia="仿宋_GB2312" w:cs="仿宋_GB2312"/>
          <w:sz w:val="32"/>
          <w:szCs w:val="32"/>
        </w:rPr>
        <w:t xml:space="preserve">办公室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22</w:t>
      </w:r>
      <w:r>
        <w:rPr>
          <w:rFonts w:hint="eastAsia" w:ascii="仿宋_GB2312" w:hAnsi="仿宋_GB2312" w:eastAsia="仿宋_GB2312" w:cs="仿宋_GB2312"/>
          <w:sz w:val="32"/>
          <w:szCs w:val="32"/>
        </w:rPr>
        <w:t>日印</w:t>
      </w:r>
    </w:p>
    <w:p>
      <w:pPr>
        <w:keepNext w:val="0"/>
        <w:keepLines w:val="0"/>
        <w:pageBreakBefore w:val="0"/>
        <w:widowControl w:val="0"/>
        <w:kinsoku/>
        <w:wordWrap/>
        <w:overflowPunct/>
        <w:topLinePunct w:val="0"/>
        <w:autoSpaceDE/>
        <w:autoSpaceDN/>
        <w:bidi w:val="0"/>
        <w:adjustRightInd/>
        <w:snapToGrid/>
        <w:spacing w:line="660" w:lineRule="exact"/>
        <w:ind w:right="-1052" w:rightChars="-501"/>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p>
    <w:p>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2020年中央集中彩票公益金支持社会福利事业专项资金使用计划明细表</w:t>
      </w:r>
    </w:p>
    <w:p>
      <w:pPr>
        <w:keepNext w:val="0"/>
        <w:keepLines w:val="0"/>
        <w:pageBreakBefore w:val="0"/>
        <w:widowControl w:val="0"/>
        <w:kinsoku/>
        <w:wordWrap/>
        <w:overflowPunct/>
        <w:topLinePunct w:val="0"/>
        <w:autoSpaceDE/>
        <w:autoSpaceDN/>
        <w:bidi w:val="0"/>
        <w:adjustRightInd/>
        <w:snapToGrid/>
        <w:spacing w:line="660" w:lineRule="exact"/>
        <w:ind w:right="-1052" w:rightChars="-501" w:firstLine="6720" w:firstLineChars="24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单位：万元</w:t>
      </w:r>
    </w:p>
    <w:tbl>
      <w:tblPr>
        <w:tblStyle w:val="4"/>
        <w:tblpPr w:leftFromText="180" w:rightFromText="180" w:vertAnchor="text" w:horzAnchor="page" w:tblpX="1197" w:tblpY="46"/>
        <w:tblOverlap w:val="never"/>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2"/>
        <w:gridCol w:w="1368"/>
        <w:gridCol w:w="1020"/>
        <w:gridCol w:w="1005"/>
        <w:gridCol w:w="840"/>
        <w:gridCol w:w="750"/>
        <w:gridCol w:w="2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单位/地区</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小计</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合计</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4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迪庆州儿童福利院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儿童福利项目</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孤儿助学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用于迪庆州儿童福利院18岁以上仍在校就读集中供养孤儿的助学费用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82"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香格里拉市民政局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儿童福利项目</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孤儿助学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用于香格里拉市18岁以上仍在校就读散居孤儿的助学费用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4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维西县民政局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儿童福利项目</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孤儿助学</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用于维西县18岁以上仍在校就读散居孤儿的助学费用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4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4</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德钦县民政局</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儿童福利项目</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孤儿助学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用于德钦县18岁以上仍在校就读散居孤儿的助学费用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4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2"/>
                <w:szCs w:val="22"/>
                <w:u w:val="none"/>
                <w:lang w:val="en-US" w:eastAsia="zh-CN"/>
              </w:rPr>
            </w:pPr>
            <w:r>
              <w:rPr>
                <w:rFonts w:hint="eastAsia" w:ascii="宋体" w:hAnsi="宋体" w:cs="宋体"/>
                <w:b/>
                <w:bCs/>
                <w:i w:val="0"/>
                <w:color w:val="000000"/>
                <w:sz w:val="22"/>
                <w:szCs w:val="22"/>
                <w:u w:val="none"/>
                <w:lang w:val="en-US" w:eastAsia="zh-CN"/>
              </w:rPr>
              <w:t>5</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“三区三州”专项倾斜资金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农村敬老院</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用于德钦县云岭乡敬老院消防提质改造项目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4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b/>
                <w:bCs/>
                <w:i w:val="0"/>
                <w:color w:val="000000"/>
                <w:sz w:val="22"/>
                <w:szCs w:val="22"/>
                <w:u w:val="none"/>
                <w:lang w:val="en-US" w:eastAsia="zh-CN"/>
              </w:rPr>
            </w:pPr>
            <w:r>
              <w:rPr>
                <w:rFonts w:hint="eastAsia" w:ascii="宋体" w:hAnsi="宋体" w:cs="宋体"/>
                <w:b/>
                <w:bCs/>
                <w:i w:val="0"/>
                <w:color w:val="000000"/>
                <w:sz w:val="22"/>
                <w:szCs w:val="22"/>
                <w:u w:val="none"/>
                <w:lang w:val="en-US" w:eastAsia="zh-CN"/>
              </w:rPr>
              <w:t>6</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特困人员供养机构</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用于德钦县城市中心敬老院护理型床位改造项目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52" w:hRule="atLeast"/>
        </w:trPr>
        <w:tc>
          <w:tcPr>
            <w:tcW w:w="425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184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184</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kern w:val="0"/>
                <w:sz w:val="22"/>
                <w:szCs w:val="2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660" w:lineRule="exact"/>
        <w:ind w:right="-1052" w:rightChars="-501"/>
        <w:jc w:val="both"/>
        <w:textAlignment w:val="auto"/>
        <w:outlineLvl w:val="9"/>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660" w:lineRule="exact"/>
        <w:ind w:right="-1052" w:rightChars="-501"/>
        <w:jc w:val="both"/>
        <w:textAlignment w:val="auto"/>
        <w:outlineLvl w:val="9"/>
        <w:rPr>
          <w:rFonts w:hint="eastAsia" w:ascii="仿宋_GB2312" w:hAnsi="仿宋_GB2312" w:eastAsia="仿宋_GB2312" w:cs="仿宋_GB2312"/>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24D85"/>
    <w:rsid w:val="017A5CDE"/>
    <w:rsid w:val="26B16B67"/>
    <w:rsid w:val="28076DC7"/>
    <w:rsid w:val="2AD062B6"/>
    <w:rsid w:val="3EA24D85"/>
    <w:rsid w:val="4AD82313"/>
    <w:rsid w:val="5B8C5136"/>
    <w:rsid w:val="5EE078D0"/>
    <w:rsid w:val="6B76551D"/>
    <w:rsid w:val="734B35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51"/>
    <w:basedOn w:val="6"/>
    <w:qFormat/>
    <w:uiPriority w:val="0"/>
    <w:rPr>
      <w:rFonts w:hint="eastAsia" w:ascii="宋体" w:hAnsi="宋体" w:eastAsia="宋体" w:cs="宋体"/>
      <w:color w:val="000000"/>
      <w:sz w:val="44"/>
      <w:szCs w:val="44"/>
      <w:u w:val="none"/>
    </w:rPr>
  </w:style>
  <w:style w:type="character" w:customStyle="1" w:styleId="8">
    <w:name w:val="font41"/>
    <w:basedOn w:val="6"/>
    <w:qFormat/>
    <w:uiPriority w:val="0"/>
    <w:rPr>
      <w:rFonts w:hint="eastAsia" w:ascii="宋体" w:hAnsi="宋体" w:eastAsia="宋体" w:cs="宋体"/>
      <w:color w:val="000000"/>
      <w:sz w:val="32"/>
      <w:szCs w:val="32"/>
      <w:u w:val="none"/>
    </w:rPr>
  </w:style>
  <w:style w:type="character" w:customStyle="1" w:styleId="9">
    <w:name w:val="font21"/>
    <w:basedOn w:val="6"/>
    <w:qFormat/>
    <w:uiPriority w:val="0"/>
    <w:rPr>
      <w:rFonts w:hint="eastAsia" w:ascii="宋体" w:hAnsi="宋体" w:eastAsia="宋体" w:cs="宋体"/>
      <w:color w:val="000000"/>
      <w:sz w:val="24"/>
      <w:szCs w:val="24"/>
      <w:u w:val="none"/>
    </w:rPr>
  </w:style>
  <w:style w:type="character" w:customStyle="1" w:styleId="10">
    <w:name w:val="font01"/>
    <w:basedOn w:val="6"/>
    <w:qFormat/>
    <w:uiPriority w:val="0"/>
    <w:rPr>
      <w:rFonts w:hint="eastAsia" w:ascii="宋体" w:hAnsi="宋体" w:eastAsia="宋体" w:cs="宋体"/>
      <w:color w:val="000000"/>
      <w:sz w:val="22"/>
      <w:szCs w:val="22"/>
      <w:u w:val="none"/>
    </w:rPr>
  </w:style>
  <w:style w:type="character" w:customStyle="1" w:styleId="11">
    <w:name w:val="font31"/>
    <w:basedOn w:val="6"/>
    <w:qFormat/>
    <w:uiPriority w:val="0"/>
    <w:rPr>
      <w:rFonts w:hint="eastAsia" w:ascii="宋体" w:hAnsi="宋体" w:eastAsia="宋体" w:cs="宋体"/>
      <w:color w:val="000000"/>
      <w:sz w:val="32"/>
      <w:szCs w:val="32"/>
      <w:u w:val="none"/>
    </w:rPr>
  </w:style>
  <w:style w:type="character" w:customStyle="1" w:styleId="12">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2019-09-29T07:33:00Z</dcterms:created>
  <dc:creator>民政局</dc:creator>
  <cp:lastModifiedBy>Administrator</cp:lastModifiedBy>
  <cp:lastPrinted>2019-09-29T10:19:00Z</cp:lastPrinted>
  <dcterms:modified xsi:type="dcterms:W3CDTF">2020-10-15T00:58:43Z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