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bookmarkStart w:id="0" w:name="_GoBack"/>
      <w:bookmarkEnd w:id="0"/>
      <w:r>
        <w:rPr>
          <w:rFonts w:hint="eastAsia" w:ascii="方正小标宋简体" w:hAnsi="方正小标宋简体" w:eastAsia="方正小标宋简体" w:cs="方正小标宋简体"/>
          <w:sz w:val="36"/>
          <w:szCs w:val="36"/>
          <w:lang w:eastAsia="zh-CN"/>
        </w:rPr>
        <w:t>迪庆州福利彩票管理中心</w:t>
      </w:r>
      <w:r>
        <w:rPr>
          <w:rFonts w:hint="eastAsia" w:ascii="方正小标宋简体" w:hAnsi="方正小标宋简体" w:eastAsia="方正小标宋简体" w:cs="方正小标宋简体"/>
          <w:sz w:val="36"/>
          <w:szCs w:val="36"/>
          <w:lang w:val="en-US" w:eastAsia="zh-CN"/>
        </w:rPr>
        <w:t>2019</w:t>
      </w:r>
      <w:r>
        <w:rPr>
          <w:rFonts w:hint="eastAsia" w:ascii="方正小标宋简体" w:hAnsi="方正小标宋简体" w:eastAsia="方正小标宋简体" w:cs="方正小标宋简体"/>
          <w:sz w:val="36"/>
          <w:szCs w:val="36"/>
        </w:rPr>
        <w:t>年度部门决算</w:t>
      </w:r>
    </w:p>
    <w:p>
      <w:pPr>
        <w:jc w:val="left"/>
        <w:rPr>
          <w:rFonts w:hint="eastAsia" w:ascii="黑体" w:hAnsi="黑体" w:eastAsia="黑体"/>
          <w:sz w:val="30"/>
          <w:szCs w:val="30"/>
          <w:lang w:val="en-US" w:eastAsia="zh-CN"/>
        </w:rPr>
      </w:pPr>
      <w:r>
        <w:rPr>
          <w:rFonts w:hint="eastAsia" w:ascii="黑体" w:hAnsi="黑体" w:eastAsia="黑体"/>
          <w:sz w:val="30"/>
          <w:szCs w:val="30"/>
          <w:lang w:val="en-US" w:eastAsia="zh-CN"/>
        </w:rPr>
        <w:t xml:space="preserve">                         </w:t>
      </w:r>
    </w:p>
    <w:p>
      <w:pPr>
        <w:jc w:val="center"/>
        <w:rPr>
          <w:rFonts w:hint="eastAsia" w:ascii="黑体" w:hAnsi="黑体" w:eastAsia="黑体"/>
          <w:sz w:val="32"/>
          <w:szCs w:val="32"/>
          <w:highlight w:val="none"/>
          <w:lang w:val="en-US" w:eastAsia="zh-CN"/>
        </w:rPr>
      </w:pPr>
      <w:r>
        <w:rPr>
          <w:rFonts w:hint="eastAsia" w:ascii="黑体" w:hAnsi="黑体" w:eastAsia="黑体"/>
          <w:sz w:val="32"/>
          <w:szCs w:val="32"/>
          <w:highlight w:val="none"/>
          <w:lang w:val="en-US" w:eastAsia="zh-CN"/>
        </w:rPr>
        <w:t>目录</w:t>
      </w:r>
    </w:p>
    <w:p>
      <w:pPr>
        <w:jc w:val="left"/>
        <w:rPr>
          <w:rFonts w:hint="eastAsia" w:ascii="黑体" w:hAnsi="黑体" w:eastAsia="黑体"/>
          <w:sz w:val="30"/>
          <w:szCs w:val="30"/>
        </w:rPr>
      </w:pPr>
      <w:r>
        <w:rPr>
          <w:rFonts w:hint="eastAsia" w:ascii="黑体" w:hAnsi="黑体" w:eastAsia="黑体"/>
          <w:sz w:val="30"/>
          <w:szCs w:val="30"/>
        </w:rPr>
        <w:t xml:space="preserve">第一部分  </w:t>
      </w:r>
      <w:r>
        <w:rPr>
          <w:rFonts w:hint="eastAsia" w:ascii="黑体" w:hAnsi="黑体" w:eastAsia="黑体"/>
          <w:sz w:val="30"/>
          <w:szCs w:val="30"/>
          <w:lang w:eastAsia="zh-CN"/>
        </w:rPr>
        <w:t>迪庆州福利彩票管理中心</w:t>
      </w:r>
      <w:r>
        <w:rPr>
          <w:rFonts w:hint="eastAsia" w:ascii="黑体" w:hAnsi="黑体" w:eastAsia="黑体"/>
          <w:sz w:val="30"/>
          <w:szCs w:val="30"/>
        </w:rPr>
        <w:t>概况</w:t>
      </w:r>
    </w:p>
    <w:p>
      <w:pPr>
        <w:spacing w:line="240" w:lineRule="atLeast"/>
        <w:jc w:val="left"/>
        <w:rPr>
          <w:rFonts w:hint="eastAsia" w:ascii="楷体" w:hAnsi="楷体" w:eastAsia="楷体"/>
          <w:sz w:val="30"/>
          <w:szCs w:val="30"/>
        </w:rPr>
      </w:pPr>
      <w:r>
        <w:rPr>
          <w:rFonts w:hint="eastAsia" w:ascii="楷体" w:hAnsi="楷体" w:eastAsia="楷体"/>
          <w:sz w:val="30"/>
          <w:szCs w:val="30"/>
        </w:rPr>
        <w:t>一、主要职能</w:t>
      </w:r>
    </w:p>
    <w:p>
      <w:pPr>
        <w:spacing w:line="240" w:lineRule="atLeast"/>
        <w:jc w:val="left"/>
        <w:rPr>
          <w:rFonts w:hint="eastAsia" w:ascii="楷体" w:hAnsi="楷体" w:eastAsia="楷体"/>
          <w:sz w:val="30"/>
          <w:szCs w:val="30"/>
        </w:rPr>
      </w:pPr>
      <w:r>
        <w:rPr>
          <w:rFonts w:hint="eastAsia" w:ascii="楷体" w:hAnsi="楷体" w:eastAsia="楷体"/>
          <w:sz w:val="30"/>
          <w:szCs w:val="30"/>
        </w:rPr>
        <w:t>二、部门基本情况</w:t>
      </w:r>
    </w:p>
    <w:p>
      <w:pPr>
        <w:jc w:val="left"/>
        <w:rPr>
          <w:rFonts w:hint="eastAsia" w:ascii="黑体" w:hAnsi="黑体" w:eastAsia="黑体"/>
          <w:sz w:val="30"/>
          <w:szCs w:val="30"/>
        </w:rPr>
      </w:pPr>
      <w:r>
        <w:rPr>
          <w:rFonts w:hint="eastAsia" w:ascii="黑体" w:hAnsi="黑体" w:eastAsia="黑体"/>
          <w:sz w:val="30"/>
          <w:szCs w:val="30"/>
        </w:rPr>
        <w:t xml:space="preserve">第二部分  </w:t>
      </w:r>
      <w:r>
        <w:rPr>
          <w:rFonts w:hint="eastAsia" w:ascii="黑体" w:hAnsi="黑体" w:eastAsia="黑体"/>
          <w:sz w:val="30"/>
          <w:szCs w:val="30"/>
          <w:lang w:val="en-US" w:eastAsia="zh-CN"/>
        </w:rPr>
        <w:t>2019</w:t>
      </w:r>
      <w:r>
        <w:rPr>
          <w:rFonts w:hint="eastAsia" w:ascii="黑体" w:hAnsi="黑体" w:eastAsia="黑体"/>
          <w:sz w:val="30"/>
          <w:szCs w:val="30"/>
        </w:rPr>
        <w:t>年度部门决算表</w:t>
      </w:r>
    </w:p>
    <w:p>
      <w:pPr>
        <w:jc w:val="left"/>
        <w:rPr>
          <w:rFonts w:hint="eastAsia" w:ascii="楷体" w:hAnsi="楷体" w:eastAsia="楷体"/>
          <w:sz w:val="30"/>
          <w:szCs w:val="30"/>
        </w:rPr>
      </w:pPr>
      <w:r>
        <w:rPr>
          <w:rFonts w:hint="eastAsia" w:ascii="楷体" w:hAnsi="楷体" w:eastAsia="楷体"/>
          <w:sz w:val="30"/>
          <w:szCs w:val="30"/>
        </w:rPr>
        <w:t>一、收入支出决算总表</w:t>
      </w:r>
    </w:p>
    <w:p>
      <w:pPr>
        <w:jc w:val="left"/>
        <w:rPr>
          <w:rFonts w:hint="eastAsia" w:ascii="楷体" w:hAnsi="楷体" w:eastAsia="楷体"/>
          <w:sz w:val="30"/>
          <w:szCs w:val="30"/>
        </w:rPr>
      </w:pPr>
      <w:r>
        <w:rPr>
          <w:rFonts w:hint="eastAsia" w:ascii="楷体" w:hAnsi="楷体" w:eastAsia="楷体"/>
          <w:sz w:val="30"/>
          <w:szCs w:val="30"/>
        </w:rPr>
        <w:t>二、收入决算表</w:t>
      </w:r>
    </w:p>
    <w:p>
      <w:pPr>
        <w:jc w:val="left"/>
        <w:rPr>
          <w:rFonts w:hint="eastAsia" w:ascii="楷体" w:hAnsi="楷体" w:eastAsia="楷体"/>
          <w:sz w:val="30"/>
          <w:szCs w:val="30"/>
        </w:rPr>
      </w:pPr>
      <w:r>
        <w:rPr>
          <w:rFonts w:hint="eastAsia" w:ascii="楷体" w:hAnsi="楷体" w:eastAsia="楷体"/>
          <w:sz w:val="30"/>
          <w:szCs w:val="30"/>
        </w:rPr>
        <w:t>三、支出决算表</w:t>
      </w:r>
    </w:p>
    <w:p>
      <w:pPr>
        <w:jc w:val="left"/>
        <w:rPr>
          <w:rFonts w:hint="eastAsia" w:ascii="楷体" w:hAnsi="楷体" w:eastAsia="楷体"/>
          <w:sz w:val="30"/>
          <w:szCs w:val="30"/>
        </w:rPr>
      </w:pPr>
      <w:r>
        <w:rPr>
          <w:rFonts w:hint="eastAsia" w:ascii="楷体" w:hAnsi="楷体" w:eastAsia="楷体"/>
          <w:sz w:val="30"/>
          <w:szCs w:val="30"/>
        </w:rPr>
        <w:t>四、财政拨款收入支出决算总表</w:t>
      </w:r>
    </w:p>
    <w:p>
      <w:pPr>
        <w:jc w:val="left"/>
        <w:rPr>
          <w:rFonts w:hint="eastAsia" w:ascii="楷体" w:hAnsi="楷体" w:eastAsia="楷体"/>
          <w:sz w:val="30"/>
          <w:szCs w:val="30"/>
        </w:rPr>
      </w:pPr>
      <w:r>
        <w:rPr>
          <w:rFonts w:hint="eastAsia" w:ascii="楷体" w:hAnsi="楷体" w:eastAsia="楷体"/>
          <w:sz w:val="30"/>
          <w:szCs w:val="30"/>
        </w:rPr>
        <w:t>五、一般公共预算财政拨款收入支出决算表</w:t>
      </w:r>
    </w:p>
    <w:p>
      <w:pPr>
        <w:jc w:val="left"/>
        <w:rPr>
          <w:rFonts w:hint="eastAsia" w:ascii="楷体" w:hAnsi="楷体" w:eastAsia="楷体"/>
          <w:sz w:val="30"/>
          <w:szCs w:val="30"/>
        </w:rPr>
      </w:pPr>
      <w:r>
        <w:rPr>
          <w:rFonts w:hint="eastAsia" w:ascii="楷体" w:hAnsi="楷体" w:eastAsia="楷体"/>
          <w:sz w:val="30"/>
          <w:szCs w:val="30"/>
        </w:rPr>
        <w:t>六、一般公共预算财政拨款基本支出决算表</w:t>
      </w:r>
    </w:p>
    <w:p>
      <w:pPr>
        <w:jc w:val="left"/>
        <w:rPr>
          <w:rFonts w:hint="eastAsia" w:ascii="楷体" w:hAnsi="楷体" w:eastAsia="楷体"/>
          <w:sz w:val="30"/>
          <w:szCs w:val="30"/>
        </w:rPr>
      </w:pPr>
      <w:r>
        <w:rPr>
          <w:rFonts w:hint="eastAsia" w:ascii="楷体" w:hAnsi="楷体" w:eastAsia="楷体"/>
          <w:sz w:val="30"/>
          <w:szCs w:val="30"/>
        </w:rPr>
        <w:t>七、政府性基金预算财政拨款收入支出决算表</w:t>
      </w:r>
    </w:p>
    <w:p>
      <w:pPr>
        <w:jc w:val="left"/>
        <w:rPr>
          <w:rFonts w:hint="eastAsia" w:ascii="楷体" w:hAnsi="楷体" w:eastAsia="楷体"/>
          <w:sz w:val="30"/>
          <w:szCs w:val="30"/>
        </w:rPr>
      </w:pPr>
      <w:r>
        <w:rPr>
          <w:rFonts w:hint="eastAsia" w:ascii="楷体" w:hAnsi="楷体" w:eastAsia="楷体"/>
          <w:sz w:val="30"/>
          <w:szCs w:val="30"/>
        </w:rPr>
        <w:t>八、“三公”经费、行政参公单位机关运行经费情况表</w:t>
      </w:r>
    </w:p>
    <w:p>
      <w:pPr>
        <w:jc w:val="left"/>
        <w:rPr>
          <w:rFonts w:hint="eastAsia" w:ascii="黑体" w:hAnsi="黑体" w:eastAsia="黑体"/>
          <w:sz w:val="30"/>
          <w:szCs w:val="30"/>
        </w:rPr>
      </w:pPr>
      <w:r>
        <w:rPr>
          <w:rFonts w:hint="eastAsia" w:ascii="黑体" w:hAnsi="黑体" w:eastAsia="黑体"/>
          <w:sz w:val="30"/>
          <w:szCs w:val="30"/>
        </w:rPr>
        <w:t>第三部</w:t>
      </w:r>
      <w:r>
        <w:rPr>
          <w:rFonts w:hint="eastAsia" w:ascii="黑体" w:hAnsi="黑体" w:eastAsia="黑体"/>
          <w:sz w:val="30"/>
          <w:szCs w:val="30"/>
          <w:lang w:eastAsia="zh-CN"/>
        </w:rPr>
        <w:t>分</w:t>
      </w:r>
      <w:r>
        <w:rPr>
          <w:rFonts w:hint="eastAsia" w:ascii="黑体" w:hAnsi="黑体" w:eastAsia="黑体"/>
          <w:sz w:val="30"/>
          <w:szCs w:val="30"/>
        </w:rPr>
        <w:t xml:space="preserve">  </w:t>
      </w:r>
      <w:r>
        <w:rPr>
          <w:rFonts w:hint="eastAsia" w:ascii="黑体" w:hAnsi="黑体" w:eastAsia="黑体"/>
          <w:sz w:val="30"/>
          <w:szCs w:val="30"/>
          <w:lang w:val="en-US" w:eastAsia="zh-CN"/>
        </w:rPr>
        <w:t>2019</w:t>
      </w:r>
      <w:r>
        <w:rPr>
          <w:rFonts w:hint="eastAsia" w:ascii="黑体" w:hAnsi="黑体" w:eastAsia="黑体"/>
          <w:sz w:val="30"/>
          <w:szCs w:val="30"/>
        </w:rPr>
        <w:t>年度部门决算情况说明</w:t>
      </w:r>
    </w:p>
    <w:p>
      <w:pPr>
        <w:jc w:val="left"/>
        <w:rPr>
          <w:rFonts w:hint="eastAsia" w:ascii="楷体" w:hAnsi="楷体" w:eastAsia="楷体"/>
          <w:sz w:val="30"/>
          <w:szCs w:val="30"/>
        </w:rPr>
      </w:pPr>
      <w:r>
        <w:rPr>
          <w:rFonts w:hint="eastAsia" w:ascii="楷体" w:hAnsi="楷体" w:eastAsia="楷体"/>
          <w:sz w:val="30"/>
          <w:szCs w:val="30"/>
        </w:rPr>
        <w:t>一、收入决算情况说明</w:t>
      </w:r>
    </w:p>
    <w:p>
      <w:pPr>
        <w:jc w:val="left"/>
        <w:rPr>
          <w:rFonts w:hint="eastAsia" w:ascii="楷体" w:hAnsi="楷体" w:eastAsia="楷体"/>
          <w:sz w:val="30"/>
          <w:szCs w:val="30"/>
        </w:rPr>
      </w:pPr>
      <w:r>
        <w:rPr>
          <w:rFonts w:hint="eastAsia" w:ascii="楷体" w:hAnsi="楷体" w:eastAsia="楷体"/>
          <w:sz w:val="30"/>
          <w:szCs w:val="30"/>
        </w:rPr>
        <w:t>二、支出决算情况说明</w:t>
      </w:r>
    </w:p>
    <w:p>
      <w:pPr>
        <w:jc w:val="left"/>
        <w:rPr>
          <w:rFonts w:hint="eastAsia" w:ascii="楷体" w:hAnsi="楷体" w:eastAsia="楷体"/>
          <w:sz w:val="30"/>
          <w:szCs w:val="30"/>
        </w:rPr>
      </w:pPr>
      <w:r>
        <w:rPr>
          <w:rFonts w:hint="eastAsia" w:ascii="楷体" w:hAnsi="楷体" w:eastAsia="楷体"/>
          <w:sz w:val="30"/>
          <w:szCs w:val="30"/>
        </w:rPr>
        <w:t>三、一般公共预算财政拨款支出决算情况说明</w:t>
      </w:r>
    </w:p>
    <w:p>
      <w:pPr>
        <w:widowControl/>
        <w:snapToGrid w:val="0"/>
        <w:spacing w:before="100" w:after="100" w:line="360" w:lineRule="auto"/>
        <w:jc w:val="left"/>
        <w:rPr>
          <w:rFonts w:hint="eastAsia" w:ascii="楷体" w:hAnsi="楷体" w:eastAsia="楷体"/>
          <w:sz w:val="30"/>
          <w:szCs w:val="30"/>
        </w:rPr>
      </w:pPr>
      <w:r>
        <w:rPr>
          <w:rFonts w:hint="eastAsia" w:ascii="楷体" w:hAnsi="楷体" w:eastAsia="楷体"/>
          <w:sz w:val="30"/>
          <w:szCs w:val="30"/>
        </w:rPr>
        <w:t>四、一般公共预算财政拨款“三公”经费支出决算情况说明</w:t>
      </w:r>
    </w:p>
    <w:p>
      <w:pPr>
        <w:widowControl/>
        <w:snapToGrid w:val="0"/>
        <w:spacing w:before="100" w:after="100" w:line="360" w:lineRule="auto"/>
        <w:jc w:val="left"/>
        <w:rPr>
          <w:rFonts w:hint="eastAsia" w:ascii="黑体" w:hAnsi="黑体" w:eastAsia="黑体"/>
          <w:sz w:val="30"/>
          <w:szCs w:val="30"/>
        </w:rPr>
      </w:pPr>
      <w:r>
        <w:rPr>
          <w:rFonts w:hint="eastAsia" w:ascii="黑体" w:hAnsi="黑体" w:eastAsia="黑体"/>
          <w:sz w:val="30"/>
          <w:szCs w:val="30"/>
          <w:lang w:eastAsia="zh-CN"/>
        </w:rPr>
        <w:t>第四部分</w:t>
      </w:r>
      <w:r>
        <w:rPr>
          <w:rFonts w:hint="eastAsia" w:ascii="楷体" w:hAnsi="楷体" w:eastAsia="楷体"/>
          <w:sz w:val="30"/>
          <w:szCs w:val="30"/>
          <w:lang w:val="en-US" w:eastAsia="zh-CN"/>
        </w:rPr>
        <w:t xml:space="preserve">  </w:t>
      </w:r>
      <w:r>
        <w:rPr>
          <w:rFonts w:hint="eastAsia" w:ascii="黑体" w:hAnsi="黑体" w:eastAsia="黑体"/>
          <w:sz w:val="30"/>
          <w:szCs w:val="30"/>
        </w:rPr>
        <w:t>其他重要事项及相关口径情况说明</w:t>
      </w:r>
    </w:p>
    <w:p>
      <w:pPr>
        <w:jc w:val="left"/>
        <w:rPr>
          <w:rFonts w:hint="eastAsia" w:ascii="楷体" w:hAnsi="楷体" w:eastAsia="楷体"/>
          <w:sz w:val="30"/>
          <w:szCs w:val="30"/>
          <w:lang w:eastAsia="zh-CN"/>
        </w:rPr>
      </w:pPr>
      <w:r>
        <w:rPr>
          <w:rFonts w:hint="eastAsia" w:ascii="楷体" w:hAnsi="楷体" w:eastAsia="楷体"/>
          <w:sz w:val="30"/>
          <w:szCs w:val="30"/>
          <w:lang w:eastAsia="zh-CN"/>
        </w:rPr>
        <w:t>一、</w:t>
      </w:r>
      <w:r>
        <w:rPr>
          <w:rFonts w:hint="eastAsia" w:ascii="楷体" w:hAnsi="楷体" w:eastAsia="楷体"/>
          <w:sz w:val="30"/>
          <w:szCs w:val="30"/>
        </w:rPr>
        <w:t>机关运行经费支出情况</w:t>
      </w:r>
    </w:p>
    <w:p>
      <w:pPr>
        <w:jc w:val="left"/>
        <w:rPr>
          <w:rFonts w:hint="eastAsia" w:ascii="楷体" w:hAnsi="楷体" w:eastAsia="楷体"/>
          <w:sz w:val="30"/>
          <w:szCs w:val="30"/>
          <w:lang w:eastAsia="zh-CN"/>
        </w:rPr>
      </w:pPr>
      <w:r>
        <w:rPr>
          <w:rFonts w:hint="eastAsia" w:ascii="楷体" w:hAnsi="楷体" w:eastAsia="楷体"/>
          <w:sz w:val="30"/>
          <w:szCs w:val="30"/>
          <w:lang w:eastAsia="zh-CN"/>
        </w:rPr>
        <w:t>二、</w:t>
      </w:r>
      <w:r>
        <w:rPr>
          <w:rFonts w:hint="eastAsia" w:ascii="楷体" w:hAnsi="楷体" w:eastAsia="楷体"/>
          <w:sz w:val="30"/>
          <w:szCs w:val="30"/>
        </w:rPr>
        <w:t>国有资产占用情况</w:t>
      </w:r>
    </w:p>
    <w:p>
      <w:pPr>
        <w:jc w:val="left"/>
        <w:rPr>
          <w:rFonts w:hint="eastAsia" w:ascii="楷体" w:hAnsi="楷体" w:eastAsia="楷体"/>
          <w:sz w:val="30"/>
          <w:szCs w:val="30"/>
          <w:lang w:eastAsia="zh-CN"/>
        </w:rPr>
      </w:pPr>
      <w:r>
        <w:rPr>
          <w:rFonts w:hint="eastAsia" w:ascii="楷体" w:hAnsi="楷体" w:eastAsia="楷体"/>
          <w:sz w:val="30"/>
          <w:szCs w:val="30"/>
          <w:lang w:eastAsia="zh-CN"/>
        </w:rPr>
        <w:t>三、</w:t>
      </w:r>
      <w:r>
        <w:rPr>
          <w:rFonts w:hint="eastAsia" w:ascii="楷体" w:hAnsi="楷体" w:eastAsia="楷体"/>
          <w:sz w:val="30"/>
          <w:szCs w:val="30"/>
        </w:rPr>
        <w:t>政府采购支出情况</w:t>
      </w:r>
    </w:p>
    <w:p>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四、</w:t>
      </w:r>
      <w:r>
        <w:rPr>
          <w:rFonts w:hint="eastAsia" w:ascii="楷体" w:hAnsi="楷体" w:eastAsia="楷体"/>
          <w:sz w:val="30"/>
          <w:szCs w:val="30"/>
          <w:highlight w:val="none"/>
          <w:lang w:val="en-US" w:eastAsia="zh-CN"/>
        </w:rPr>
        <w:t>部门绩效自评情况</w:t>
      </w:r>
    </w:p>
    <w:p>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（一）项目支出绩效自评/项目支出绩效自评报告（表）</w:t>
      </w:r>
    </w:p>
    <w:p>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（二）部门整体支出绩效自评报告</w:t>
      </w:r>
    </w:p>
    <w:p>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（三）部门整体支出绩效自评表</w:t>
      </w:r>
    </w:p>
    <w:p>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五、</w:t>
      </w:r>
      <w:r>
        <w:rPr>
          <w:rFonts w:hint="eastAsia" w:ascii="楷体" w:hAnsi="楷体" w:eastAsia="楷体"/>
          <w:sz w:val="30"/>
          <w:szCs w:val="30"/>
          <w:highlight w:val="none"/>
          <w:lang w:val="en-US" w:eastAsia="zh-CN"/>
        </w:rPr>
        <w:t>其他重要事项情况说明、</w:t>
      </w:r>
    </w:p>
    <w:p>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六、相关口径说明</w:t>
      </w:r>
    </w:p>
    <w:p>
      <w:pPr>
        <w:widowControl/>
        <w:snapToGrid w:val="0"/>
        <w:spacing w:before="100" w:after="100" w:line="360" w:lineRule="auto"/>
        <w:jc w:val="left"/>
        <w:rPr>
          <w:rFonts w:hint="eastAsia" w:ascii="黑体" w:hAnsi="黑体" w:eastAsia="黑体"/>
          <w:sz w:val="30"/>
          <w:szCs w:val="30"/>
        </w:rPr>
      </w:pPr>
      <w:r>
        <w:rPr>
          <w:rFonts w:hint="eastAsia" w:ascii="黑体" w:hAnsi="黑体" w:eastAsia="黑体"/>
          <w:sz w:val="30"/>
          <w:szCs w:val="30"/>
        </w:rPr>
        <w:t>第</w:t>
      </w:r>
      <w:r>
        <w:rPr>
          <w:rFonts w:hint="eastAsia" w:ascii="黑体" w:hAnsi="黑体" w:eastAsia="黑体"/>
          <w:sz w:val="30"/>
          <w:szCs w:val="30"/>
          <w:lang w:eastAsia="zh-CN"/>
        </w:rPr>
        <w:t>五</w:t>
      </w:r>
      <w:r>
        <w:rPr>
          <w:rFonts w:hint="eastAsia" w:ascii="黑体" w:hAnsi="黑体" w:eastAsia="黑体"/>
          <w:sz w:val="30"/>
          <w:szCs w:val="30"/>
        </w:rPr>
        <w:t>部分  名词解释</w:t>
      </w: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both"/>
        <w:rPr>
          <w:rFonts w:hint="eastAsia" w:ascii="黑体" w:hAnsi="黑体" w:eastAsia="黑体"/>
          <w:sz w:val="32"/>
          <w:szCs w:val="32"/>
        </w:rPr>
      </w:pPr>
    </w:p>
    <w:p>
      <w:pPr>
        <w:jc w:val="center"/>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迪庆州福利彩票管理中心</w:t>
      </w:r>
      <w:r>
        <w:rPr>
          <w:rFonts w:hint="eastAsia" w:ascii="黑体" w:hAnsi="黑体" w:eastAsia="黑体"/>
          <w:sz w:val="32"/>
          <w:szCs w:val="32"/>
        </w:rPr>
        <w:t>概况</w:t>
      </w:r>
    </w:p>
    <w:p>
      <w:pPr>
        <w:spacing w:line="600" w:lineRule="exact"/>
        <w:ind w:firstLine="600" w:firstLineChars="200"/>
        <w:rPr>
          <w:rFonts w:hint="eastAsia" w:ascii="黑体" w:hAnsi="黑体" w:eastAsia="黑体"/>
          <w:sz w:val="30"/>
          <w:szCs w:val="30"/>
        </w:rPr>
      </w:pPr>
      <w:r>
        <w:rPr>
          <w:rFonts w:hint="eastAsia" w:ascii="黑体" w:hAnsi="黑体" w:eastAsia="黑体"/>
          <w:sz w:val="30"/>
          <w:szCs w:val="30"/>
        </w:rPr>
        <w:t>一、主要职能</w:t>
      </w:r>
    </w:p>
    <w:p>
      <w:pPr>
        <w:spacing w:line="600" w:lineRule="exact"/>
        <w:ind w:firstLine="600" w:firstLineChars="200"/>
        <w:rPr>
          <w:rFonts w:hint="eastAsia" w:ascii="楷体" w:hAnsi="楷体" w:eastAsia="楷体"/>
          <w:bCs/>
          <w:sz w:val="30"/>
          <w:szCs w:val="30"/>
        </w:rPr>
      </w:pPr>
      <w:r>
        <w:rPr>
          <w:rFonts w:hint="eastAsia" w:ascii="楷体" w:hAnsi="楷体" w:eastAsia="楷体"/>
          <w:bCs/>
          <w:sz w:val="30"/>
          <w:szCs w:val="30"/>
        </w:rPr>
        <w:t>（一）主要职能</w:t>
      </w:r>
    </w:p>
    <w:p>
      <w:pPr>
        <w:pStyle w:val="3"/>
        <w:adjustRightInd w:val="0"/>
        <w:snapToGrid w:val="0"/>
        <w:spacing w:line="600" w:lineRule="exact"/>
        <w:ind w:firstLine="630" w:firstLineChars="210"/>
        <w:rPr>
          <w:rFonts w:hint="eastAsia"/>
          <w:bCs/>
          <w:szCs w:val="30"/>
        </w:rPr>
      </w:pPr>
      <w:r>
        <w:rPr>
          <w:rFonts w:hint="eastAsia"/>
          <w:bCs/>
          <w:szCs w:val="30"/>
        </w:rPr>
        <w:t>迪庆州福利彩票管理中心承担迪庆州福利彩票发行和销售的管理工作，主要工作职责就是通过发行销售福利彩票筹集社会资金，发展社会福利事业。多年来，中心秉承“扶老、助残、救孤、济困、赈灾”的发行宗旨，遵循“公开、公正、公平、公信”的发行原则，筹集公益金发展社会福利事业和其它公益事业，促进社会和谐稳定、经济建设全面发展。</w:t>
      </w:r>
    </w:p>
    <w:p>
      <w:pPr>
        <w:pStyle w:val="3"/>
        <w:adjustRightInd w:val="0"/>
        <w:snapToGrid w:val="0"/>
        <w:spacing w:line="600" w:lineRule="exact"/>
        <w:ind w:firstLine="630" w:firstLineChars="210"/>
        <w:rPr>
          <w:rFonts w:hint="eastAsia" w:ascii="楷体" w:hAnsi="楷体" w:eastAsia="楷体"/>
          <w:bCs/>
          <w:szCs w:val="30"/>
        </w:rPr>
      </w:pPr>
      <w:r>
        <w:rPr>
          <w:rFonts w:hint="eastAsia" w:ascii="楷体" w:hAnsi="楷体" w:eastAsia="楷体"/>
          <w:bCs/>
          <w:szCs w:val="30"/>
        </w:rPr>
        <w:t>（二）</w:t>
      </w:r>
      <w:r>
        <w:rPr>
          <w:rFonts w:hint="eastAsia" w:ascii="楷体" w:hAnsi="楷体" w:eastAsia="楷体"/>
          <w:bCs/>
          <w:szCs w:val="30"/>
          <w:lang w:val="en-US" w:eastAsia="zh-CN"/>
        </w:rPr>
        <w:t>2019</w:t>
      </w:r>
      <w:r>
        <w:rPr>
          <w:rFonts w:hint="eastAsia" w:ascii="楷体" w:hAnsi="楷体" w:eastAsia="楷体"/>
          <w:bCs/>
          <w:szCs w:val="30"/>
        </w:rPr>
        <w:t>年度重点工作任务介绍</w:t>
      </w:r>
    </w:p>
    <w:p>
      <w:pPr>
        <w:pStyle w:val="3"/>
        <w:adjustRightInd w:val="0"/>
        <w:snapToGrid w:val="0"/>
        <w:spacing w:line="600" w:lineRule="exact"/>
        <w:ind w:firstLine="630" w:firstLineChars="210"/>
        <w:rPr>
          <w:rFonts w:hint="eastAsia"/>
          <w:bCs/>
          <w:szCs w:val="30"/>
          <w:lang w:val="en-US" w:eastAsia="zh-CN"/>
        </w:rPr>
      </w:pPr>
      <w:r>
        <w:rPr>
          <w:rFonts w:hint="eastAsia"/>
          <w:bCs/>
          <w:szCs w:val="30"/>
          <w:lang w:val="en-US" w:eastAsia="zh-CN"/>
        </w:rPr>
        <w:t>1、2019年发行销售市场运行情况</w:t>
      </w:r>
    </w:p>
    <w:p>
      <w:pPr>
        <w:pStyle w:val="3"/>
        <w:adjustRightInd w:val="0"/>
        <w:snapToGrid w:val="0"/>
        <w:spacing w:line="600" w:lineRule="exact"/>
        <w:ind w:firstLine="630" w:firstLineChars="210"/>
        <w:rPr>
          <w:rFonts w:hint="eastAsia"/>
          <w:bCs/>
          <w:szCs w:val="30"/>
          <w:lang w:val="en-US" w:eastAsia="zh-CN"/>
        </w:rPr>
      </w:pPr>
      <w:r>
        <w:rPr>
          <w:rFonts w:hint="eastAsia"/>
          <w:bCs/>
          <w:szCs w:val="30"/>
          <w:lang w:val="en-US" w:eastAsia="zh-CN"/>
        </w:rPr>
        <w:t>发行销售市场运行情况：全州共计109个投注站，截至今年12月23日全州福利彩票共销售2.27亿元，其中各游戏、各票种销售情况如下：1.乐透数字型游戏销售完成 169243134元。2.网点即开票销售完成10384500元。3.视频型彩票“中福在线”销售完成47387137.88元。</w:t>
      </w:r>
    </w:p>
    <w:p>
      <w:pPr>
        <w:pStyle w:val="3"/>
        <w:adjustRightInd w:val="0"/>
        <w:snapToGrid w:val="0"/>
        <w:spacing w:line="600" w:lineRule="exact"/>
        <w:ind w:firstLine="630" w:firstLineChars="210"/>
        <w:rPr>
          <w:rFonts w:hint="eastAsia"/>
          <w:bCs/>
          <w:szCs w:val="30"/>
          <w:lang w:val="en-US" w:eastAsia="zh-CN"/>
        </w:rPr>
      </w:pPr>
      <w:r>
        <w:rPr>
          <w:rFonts w:hint="eastAsia"/>
          <w:bCs/>
          <w:szCs w:val="30"/>
          <w:lang w:val="en-US" w:eastAsia="zh-CN"/>
        </w:rPr>
        <w:t>2、快乐十分规则调整及销量统计上报工作</w:t>
      </w:r>
    </w:p>
    <w:p>
      <w:pPr>
        <w:pStyle w:val="3"/>
        <w:adjustRightInd w:val="0"/>
        <w:snapToGrid w:val="0"/>
        <w:spacing w:line="600" w:lineRule="exact"/>
        <w:ind w:firstLine="630" w:firstLineChars="210"/>
        <w:rPr>
          <w:rFonts w:hint="eastAsia"/>
          <w:bCs/>
          <w:szCs w:val="30"/>
          <w:lang w:val="en-US" w:eastAsia="zh-CN"/>
        </w:rPr>
      </w:pPr>
      <w:r>
        <w:rPr>
          <w:rFonts w:hint="eastAsia"/>
          <w:bCs/>
          <w:szCs w:val="30"/>
          <w:lang w:val="en-US" w:eastAsia="zh-CN"/>
        </w:rPr>
        <w:t>根据云南省中心关于转发中彩中心《关于快开游戏规则调整实施工作的说明》，按照文件要求做好全州福彩站点快开游戏规则调整公告宣传工作，并做好周末及节假日值班工作安排，完成销量每日监控上报工作。</w:t>
      </w:r>
    </w:p>
    <w:p>
      <w:pPr>
        <w:pStyle w:val="3"/>
        <w:adjustRightInd w:val="0"/>
        <w:snapToGrid w:val="0"/>
        <w:spacing w:line="600" w:lineRule="exact"/>
        <w:ind w:firstLine="630" w:firstLineChars="210"/>
        <w:rPr>
          <w:rFonts w:hint="eastAsia"/>
          <w:bCs/>
          <w:szCs w:val="30"/>
          <w:lang w:val="en-US" w:eastAsia="zh-CN"/>
        </w:rPr>
      </w:pPr>
      <w:r>
        <w:rPr>
          <w:rFonts w:hint="eastAsia"/>
          <w:bCs/>
          <w:szCs w:val="30"/>
          <w:lang w:val="en-US" w:eastAsia="zh-CN"/>
        </w:rPr>
        <w:t>3、完成我州市场管理员设置相关工作</w:t>
      </w:r>
    </w:p>
    <w:p>
      <w:pPr>
        <w:pStyle w:val="3"/>
        <w:adjustRightInd w:val="0"/>
        <w:snapToGrid w:val="0"/>
        <w:spacing w:line="600" w:lineRule="exact"/>
        <w:ind w:firstLine="630" w:firstLineChars="210"/>
        <w:rPr>
          <w:rFonts w:hint="eastAsia"/>
          <w:bCs/>
          <w:szCs w:val="30"/>
          <w:lang w:val="en-US" w:eastAsia="zh-CN"/>
        </w:rPr>
      </w:pPr>
      <w:r>
        <w:rPr>
          <w:rFonts w:hint="eastAsia"/>
          <w:bCs/>
          <w:szCs w:val="30"/>
          <w:lang w:val="en-US" w:eastAsia="zh-CN"/>
        </w:rPr>
        <w:t>根据《云南省民政厅关于印发云南省福利彩票销售市场管理员暂行办法的通知》（云民福［2019］5号）文件精神，为加强对我州福利彩票销售网点的管理和服务，我中心按时完成了县（市）福彩市场管理员设置工作，并在德钦县、维西县各设置了一名福利彩票市场管理员，人员由所在县的民政局统一管理，中心也及时下拨了市场管理员工作经费。为进一步提高我州福彩市场管理员的业务能力及管理水平，中心于2019年8月19日至23日开展了全州福彩市场管理员业务水平培训，为今后更好的发挥县级彩票市场管理员的职能作用，以及我州彩票市场监督管理、打印纸及宣传品发放、投注机维修等服务管理工作打下了坚实基础。</w:t>
      </w:r>
    </w:p>
    <w:p>
      <w:pPr>
        <w:pStyle w:val="3"/>
        <w:adjustRightInd w:val="0"/>
        <w:snapToGrid w:val="0"/>
        <w:spacing w:line="600" w:lineRule="exact"/>
        <w:ind w:firstLine="630" w:firstLineChars="210"/>
        <w:rPr>
          <w:rFonts w:hint="eastAsia"/>
          <w:bCs/>
          <w:szCs w:val="30"/>
          <w:lang w:val="en-US" w:eastAsia="zh-CN"/>
        </w:rPr>
      </w:pPr>
      <w:r>
        <w:rPr>
          <w:rFonts w:hint="eastAsia"/>
          <w:bCs/>
          <w:szCs w:val="30"/>
          <w:lang w:val="en-US" w:eastAsia="zh-CN"/>
        </w:rPr>
        <w:t>4、确保中福在线销售厅及彩票投注站点安全运行无事故。</w:t>
      </w:r>
    </w:p>
    <w:p>
      <w:pPr>
        <w:pStyle w:val="3"/>
        <w:adjustRightInd w:val="0"/>
        <w:snapToGrid w:val="0"/>
        <w:spacing w:line="600" w:lineRule="exact"/>
        <w:ind w:firstLine="630" w:firstLineChars="210"/>
        <w:rPr>
          <w:rFonts w:hint="eastAsia"/>
          <w:bCs/>
          <w:szCs w:val="30"/>
          <w:lang w:val="en-US" w:eastAsia="zh-CN"/>
        </w:rPr>
      </w:pPr>
      <w:r>
        <w:rPr>
          <w:rFonts w:hint="eastAsia"/>
          <w:bCs/>
          <w:szCs w:val="30"/>
          <w:lang w:val="en-US" w:eastAsia="zh-CN"/>
        </w:rPr>
        <w:t>为进一步加强对中福在线销售厅及彩票投注站点的规范化管理，牢固树立“安全运行、健康发展”的工作方针。我中心充分发挥市场管理员的优势对销售厅及彩票投注站点进行巡检巡查，做好消防安全和安保工作，保证了视频监控无死角，做到按章办事，按流程处理，确保销售厅及彩票投注站点发行销售运营安全。</w:t>
      </w:r>
    </w:p>
    <w:p>
      <w:pPr>
        <w:pStyle w:val="3"/>
        <w:adjustRightInd w:val="0"/>
        <w:snapToGrid w:val="0"/>
        <w:spacing w:line="600" w:lineRule="exact"/>
        <w:ind w:firstLine="630" w:firstLineChars="210"/>
        <w:rPr>
          <w:rFonts w:hint="eastAsia"/>
          <w:bCs/>
          <w:szCs w:val="30"/>
          <w:lang w:val="en-US" w:eastAsia="zh-CN"/>
        </w:rPr>
      </w:pPr>
      <w:r>
        <w:rPr>
          <w:rFonts w:hint="eastAsia"/>
          <w:bCs/>
          <w:szCs w:val="30"/>
          <w:lang w:val="en-US" w:eastAsia="zh-CN"/>
        </w:rPr>
        <w:t>同时为了使中福在线销售厅全体员工掌握消防基础知识，提高安全防范意识，增强自我保护能力，学会灭火器的使用及有序地进行人员、财物的疏散，2019年9月11日福彩中心组织了一次全体职工消防知识培训及演练，使员工在应对紧急情况时能有序处理，有力保障在线厅安全运行。</w:t>
      </w:r>
    </w:p>
    <w:p>
      <w:pPr>
        <w:pStyle w:val="3"/>
        <w:adjustRightInd w:val="0"/>
        <w:snapToGrid w:val="0"/>
        <w:spacing w:line="600" w:lineRule="exact"/>
        <w:ind w:firstLine="630" w:firstLineChars="210"/>
        <w:rPr>
          <w:rFonts w:hint="eastAsia"/>
          <w:bCs/>
          <w:szCs w:val="30"/>
          <w:lang w:val="en-US" w:eastAsia="zh-CN"/>
        </w:rPr>
      </w:pPr>
      <w:r>
        <w:rPr>
          <w:rFonts w:hint="eastAsia"/>
          <w:bCs/>
          <w:szCs w:val="30"/>
          <w:lang w:val="en-US" w:eastAsia="zh-CN"/>
        </w:rPr>
        <w:t>5、迪庆州福利彩票体验大厅装修项目顺利完成</w:t>
      </w:r>
    </w:p>
    <w:p>
      <w:pPr>
        <w:pStyle w:val="3"/>
        <w:adjustRightInd w:val="0"/>
        <w:snapToGrid w:val="0"/>
        <w:spacing w:line="600" w:lineRule="exact"/>
        <w:ind w:firstLine="630" w:firstLineChars="210"/>
        <w:rPr>
          <w:rFonts w:hint="eastAsia"/>
          <w:bCs/>
          <w:szCs w:val="30"/>
          <w:lang w:val="en-US" w:eastAsia="zh-CN"/>
        </w:rPr>
      </w:pPr>
      <w:r>
        <w:rPr>
          <w:rFonts w:hint="eastAsia"/>
          <w:bCs/>
          <w:szCs w:val="30"/>
          <w:lang w:val="en-US" w:eastAsia="zh-CN"/>
        </w:rPr>
        <w:t>我中心彩票体验大厅装修项目已于2019年9月3日交工验收，项目经设计、监理等部门现场综合评定为合格工程。建设项目现已完成工程审计工作，该项目招标控制价为：1424833.72元；项目最终结算审定金额为1365365.17元。</w:t>
      </w:r>
    </w:p>
    <w:p>
      <w:pPr>
        <w:pStyle w:val="3"/>
        <w:adjustRightInd w:val="0"/>
        <w:snapToGrid w:val="0"/>
        <w:spacing w:line="600" w:lineRule="exact"/>
        <w:ind w:firstLine="630" w:firstLineChars="210"/>
        <w:rPr>
          <w:rFonts w:hint="eastAsia"/>
          <w:bCs/>
          <w:szCs w:val="30"/>
          <w:lang w:val="en-US" w:eastAsia="zh-CN"/>
        </w:rPr>
      </w:pPr>
      <w:r>
        <w:rPr>
          <w:rFonts w:hint="eastAsia"/>
          <w:bCs/>
          <w:szCs w:val="30"/>
          <w:lang w:val="en-US" w:eastAsia="zh-CN"/>
        </w:rPr>
        <w:t>6、切实践行福利彩票“取之于民、用之于民”系列活动</w:t>
      </w:r>
    </w:p>
    <w:p>
      <w:pPr>
        <w:pStyle w:val="3"/>
        <w:adjustRightInd w:val="0"/>
        <w:snapToGrid w:val="0"/>
        <w:spacing w:line="600" w:lineRule="exact"/>
        <w:ind w:firstLine="630" w:firstLineChars="210"/>
        <w:rPr>
          <w:rFonts w:hint="eastAsia"/>
          <w:bCs/>
          <w:szCs w:val="30"/>
          <w:lang w:val="en-US" w:eastAsia="zh-CN"/>
        </w:rPr>
      </w:pPr>
      <w:r>
        <w:rPr>
          <w:rFonts w:hint="eastAsia"/>
          <w:bCs/>
          <w:szCs w:val="30"/>
          <w:lang w:val="en-US" w:eastAsia="zh-CN"/>
        </w:rPr>
        <w:t>（1）.春节期间，迪庆州福利彩票管理中心到开发区中心养老院开展走访慰问敬老院，给老人们送去米面、香油、水果等春节慰问品，充分展现了中国福利彩票“扶老、助残、救孤、济困”的发行宗旨。</w:t>
      </w:r>
    </w:p>
    <w:p>
      <w:pPr>
        <w:pStyle w:val="3"/>
        <w:adjustRightInd w:val="0"/>
        <w:snapToGrid w:val="0"/>
        <w:spacing w:line="600" w:lineRule="exact"/>
        <w:ind w:firstLine="630" w:firstLineChars="210"/>
        <w:rPr>
          <w:rFonts w:hint="eastAsia"/>
          <w:bCs/>
          <w:szCs w:val="30"/>
          <w:lang w:val="en-US" w:eastAsia="zh-CN"/>
        </w:rPr>
      </w:pPr>
      <w:r>
        <w:rPr>
          <w:rFonts w:hint="eastAsia"/>
          <w:bCs/>
          <w:szCs w:val="30"/>
          <w:lang w:val="en-US" w:eastAsia="zh-CN"/>
        </w:rPr>
        <w:t>（2）.为积极响应国家扶贫政策方针，认真落实定点帮扶工作，做好中心年度脱贫攻坚相关工作。3月25日拨付30万元用于香格里拉市虎跳峡镇松鹤村扶贫产业发展专项资金；11月28日拨付5万元扶贫工作经费。</w:t>
      </w:r>
    </w:p>
    <w:p>
      <w:pPr>
        <w:pStyle w:val="3"/>
        <w:adjustRightInd w:val="0"/>
        <w:snapToGrid w:val="0"/>
        <w:spacing w:line="600" w:lineRule="exact"/>
        <w:ind w:firstLine="630" w:firstLineChars="210"/>
        <w:rPr>
          <w:rFonts w:hint="eastAsia"/>
          <w:bCs/>
          <w:szCs w:val="30"/>
          <w:lang w:val="en-US" w:eastAsia="zh-CN"/>
        </w:rPr>
      </w:pPr>
      <w:r>
        <w:rPr>
          <w:rFonts w:hint="eastAsia"/>
          <w:bCs/>
          <w:szCs w:val="30"/>
          <w:lang w:val="en-US" w:eastAsia="zh-CN"/>
        </w:rPr>
        <w:t>（3）.为充分体现福彩资金取之于民、用之于民、造福社会的作用，10月8日拨付6万元用于香格里拉市虎跳峡镇松鹤村娃里顶水毁桥梁修缮缺口资金。</w:t>
      </w:r>
    </w:p>
    <w:p>
      <w:pPr>
        <w:pStyle w:val="3"/>
        <w:adjustRightInd w:val="0"/>
        <w:snapToGrid w:val="0"/>
        <w:spacing w:line="600" w:lineRule="exact"/>
        <w:ind w:firstLine="630" w:firstLineChars="210"/>
        <w:rPr>
          <w:rFonts w:hint="eastAsia"/>
          <w:bCs/>
          <w:szCs w:val="30"/>
          <w:lang w:val="en-US" w:eastAsia="zh-CN"/>
        </w:rPr>
      </w:pPr>
      <w:r>
        <w:rPr>
          <w:rFonts w:hint="eastAsia"/>
          <w:bCs/>
          <w:szCs w:val="30"/>
          <w:lang w:val="en-US" w:eastAsia="zh-CN"/>
        </w:rPr>
        <w:t>（4）.我中心按照局机关开展扶贫遍访工作时，根据贫困户实际困难，安排我中心解决虎跳峡镇松鹤村阿普洛村民安全饮水问题及药材灌溉用水要求，积极参与设计、安装工作，切实解决了贫困户安全饮水问题。</w:t>
      </w:r>
    </w:p>
    <w:p>
      <w:pPr>
        <w:pStyle w:val="3"/>
        <w:adjustRightInd w:val="0"/>
        <w:snapToGrid w:val="0"/>
        <w:spacing w:line="600" w:lineRule="exact"/>
        <w:ind w:firstLine="630" w:firstLineChars="210"/>
        <w:rPr>
          <w:rFonts w:hint="eastAsia"/>
          <w:bCs/>
          <w:szCs w:val="30"/>
          <w:lang w:val="en-US" w:eastAsia="zh-CN"/>
        </w:rPr>
      </w:pPr>
      <w:r>
        <w:rPr>
          <w:rFonts w:hint="eastAsia"/>
          <w:bCs/>
          <w:szCs w:val="30"/>
          <w:lang w:val="en-US" w:eastAsia="zh-CN"/>
        </w:rPr>
        <w:t>（5）.2019年9月22日迪庆州慈善会在儿童福利院针对全州孤残儿童，困境儿童组织“助学长征”募捐活动，我州福彩中心向慈善会捐赠10万元，用于解决全州孤残儿童、困境儿童的切实困难。</w:t>
      </w:r>
    </w:p>
    <w:p>
      <w:pPr>
        <w:pStyle w:val="3"/>
        <w:adjustRightInd w:val="0"/>
        <w:snapToGrid w:val="0"/>
        <w:spacing w:line="600" w:lineRule="exact"/>
        <w:ind w:firstLine="630" w:firstLineChars="210"/>
        <w:rPr>
          <w:rFonts w:hint="eastAsia"/>
          <w:bCs/>
          <w:szCs w:val="30"/>
          <w:lang w:val="en-US" w:eastAsia="zh-CN"/>
        </w:rPr>
      </w:pPr>
      <w:r>
        <w:rPr>
          <w:rFonts w:hint="eastAsia"/>
          <w:bCs/>
          <w:szCs w:val="30"/>
          <w:lang w:val="en-US" w:eastAsia="zh-CN"/>
        </w:rPr>
        <w:t>7、中福在线厅完成房屋修缮相关工作</w:t>
      </w:r>
    </w:p>
    <w:p>
      <w:pPr>
        <w:pStyle w:val="3"/>
        <w:adjustRightInd w:val="0"/>
        <w:snapToGrid w:val="0"/>
        <w:spacing w:line="600" w:lineRule="exact"/>
        <w:ind w:firstLine="630" w:firstLineChars="210"/>
        <w:rPr>
          <w:rFonts w:hint="default"/>
          <w:bCs/>
          <w:szCs w:val="30"/>
          <w:lang w:val="en-US" w:eastAsia="zh-CN"/>
        </w:rPr>
      </w:pPr>
      <w:r>
        <w:rPr>
          <w:rFonts w:hint="eastAsia"/>
          <w:bCs/>
          <w:szCs w:val="30"/>
          <w:lang w:val="en-US" w:eastAsia="zh-CN"/>
        </w:rPr>
        <w:t>中福在线销售厅自2014年开业以来，长期人流量较大，卫生间时常阻塞，窗帘老旧，墙体因烟熏等原因发黄。中心充分利用全国彩票市场国庆调休7天的机会，对在线厅房屋进行房屋修缮、并同期完成供暖管道的安装工作。</w:t>
      </w:r>
    </w:p>
    <w:p>
      <w:pPr>
        <w:pStyle w:val="3"/>
        <w:adjustRightInd w:val="0"/>
        <w:snapToGrid w:val="0"/>
        <w:spacing w:line="600" w:lineRule="exact"/>
        <w:ind w:firstLine="630" w:firstLineChars="210"/>
        <w:rPr>
          <w:rFonts w:hint="eastAsia"/>
          <w:bCs/>
          <w:szCs w:val="30"/>
          <w:lang w:val="en-US" w:eastAsia="zh-CN"/>
        </w:rPr>
      </w:pPr>
      <w:r>
        <w:rPr>
          <w:rFonts w:hint="eastAsia"/>
          <w:bCs/>
          <w:szCs w:val="30"/>
          <w:lang w:val="en-US" w:eastAsia="zh-CN"/>
        </w:rPr>
        <w:t>8、积极配合福彩演播室摄制组完成素材拍摄</w:t>
      </w:r>
    </w:p>
    <w:p>
      <w:pPr>
        <w:pStyle w:val="3"/>
        <w:adjustRightInd w:val="0"/>
        <w:snapToGrid w:val="0"/>
        <w:spacing w:line="600" w:lineRule="exact"/>
        <w:ind w:firstLine="630" w:firstLineChars="210"/>
        <w:rPr>
          <w:rFonts w:hint="eastAsia"/>
          <w:bCs/>
          <w:szCs w:val="30"/>
          <w:lang w:val="en-US" w:eastAsia="zh-CN"/>
        </w:rPr>
      </w:pPr>
      <w:r>
        <w:rPr>
          <w:rFonts w:hint="eastAsia"/>
          <w:bCs/>
          <w:szCs w:val="30"/>
          <w:lang w:val="en-US" w:eastAsia="zh-CN"/>
        </w:rPr>
        <w:t>2019年9月20至23日，中福彩中心《福彩演播室》摄制组通过省中心选定，将我中心实施的贫困户安全饮水项目定为拍摄主题，在我州进行为期4天的扶贫户安居饮水项目试点工程的节目素材拍摄，我中心积极配合，顺利完成拍摄任务，于2019年11月17日在中央教育频道播出。</w:t>
      </w:r>
    </w:p>
    <w:p>
      <w:pPr>
        <w:pStyle w:val="3"/>
        <w:adjustRightInd w:val="0"/>
        <w:snapToGrid w:val="0"/>
        <w:spacing w:line="600" w:lineRule="exact"/>
        <w:ind w:firstLine="630" w:firstLineChars="210"/>
        <w:rPr>
          <w:rFonts w:hint="eastAsia"/>
          <w:bCs/>
          <w:szCs w:val="30"/>
          <w:lang w:val="en-US" w:eastAsia="zh-CN"/>
        </w:rPr>
      </w:pPr>
      <w:r>
        <w:rPr>
          <w:rFonts w:hint="eastAsia"/>
          <w:bCs/>
          <w:szCs w:val="30"/>
          <w:lang w:val="en-US" w:eastAsia="zh-CN"/>
        </w:rPr>
        <w:t>9、根据《云南省福利彩票发行中心关于续签即开型彩票销售网点代销合同的通知》的要求，中心工作人员到各县及时完成了全州福彩投注站的即开型彩票合同续签及代销证发放工作。</w:t>
      </w:r>
    </w:p>
    <w:p>
      <w:pPr>
        <w:pStyle w:val="3"/>
        <w:adjustRightInd w:val="0"/>
        <w:snapToGrid w:val="0"/>
        <w:spacing w:line="600" w:lineRule="exact"/>
        <w:ind w:firstLine="630" w:firstLineChars="210"/>
        <w:rPr>
          <w:rFonts w:hint="eastAsia"/>
          <w:bCs/>
          <w:szCs w:val="30"/>
          <w:lang w:val="en-US" w:eastAsia="zh-CN"/>
        </w:rPr>
      </w:pPr>
      <w:r>
        <w:rPr>
          <w:rFonts w:hint="eastAsia"/>
          <w:bCs/>
          <w:szCs w:val="30"/>
          <w:lang w:val="en-US" w:eastAsia="zh-CN"/>
        </w:rPr>
        <w:t>10、为进一步满足新形势下福彩工作的需要，加强我州福利彩票管理服务队伍建设，做好对福彩投注站的管理，并现场提供维修、技术指导等工作，确保我州福利彩票发行销售工作正常运行，2019年完成了全州福彩站点的巡查巡检工作，巡查率达100%。</w:t>
      </w:r>
    </w:p>
    <w:p>
      <w:pPr>
        <w:pStyle w:val="3"/>
        <w:adjustRightInd w:val="0"/>
        <w:snapToGrid w:val="0"/>
        <w:spacing w:line="600" w:lineRule="exact"/>
        <w:ind w:firstLine="630" w:firstLineChars="210"/>
        <w:rPr>
          <w:rFonts w:hint="eastAsia"/>
          <w:bCs/>
          <w:szCs w:val="30"/>
          <w:lang w:val="en-US" w:eastAsia="zh-CN"/>
        </w:rPr>
      </w:pPr>
      <w:r>
        <w:rPr>
          <w:rFonts w:hint="eastAsia"/>
          <w:bCs/>
          <w:szCs w:val="30"/>
          <w:lang w:val="en-US" w:eastAsia="zh-CN"/>
        </w:rPr>
        <w:t>11、根据云南省福彩中心的要求，今年我中心内训师针对即开票订票系统、双色球派奖活动等从市场、管理、营销等方面开展了全州范围的业务专题培训，不仅提升了福彩从业人员的基本素质和业务能力水平，更加强了我中心内训师队伍的建设，为下一步我中心自行开展业务培训奠定了基础。</w:t>
      </w:r>
    </w:p>
    <w:p>
      <w:pPr>
        <w:pStyle w:val="3"/>
        <w:adjustRightInd w:val="0"/>
        <w:snapToGrid w:val="0"/>
        <w:spacing w:line="600" w:lineRule="exact"/>
        <w:ind w:firstLine="630" w:firstLineChars="210"/>
        <w:rPr>
          <w:rFonts w:hint="eastAsia"/>
          <w:bCs/>
          <w:szCs w:val="30"/>
          <w:lang w:val="en-US" w:eastAsia="zh-CN"/>
        </w:rPr>
      </w:pPr>
      <w:r>
        <w:rPr>
          <w:rFonts w:hint="eastAsia"/>
          <w:bCs/>
          <w:szCs w:val="30"/>
          <w:lang w:val="en-US" w:eastAsia="zh-CN"/>
        </w:rPr>
        <w:t>12、积极配合局机关做好2019年脱贫攻坚工作</w:t>
      </w:r>
    </w:p>
    <w:p>
      <w:pPr>
        <w:pStyle w:val="3"/>
        <w:adjustRightInd w:val="0"/>
        <w:snapToGrid w:val="0"/>
        <w:spacing w:line="600" w:lineRule="exact"/>
        <w:ind w:firstLine="630" w:firstLineChars="210"/>
        <w:rPr>
          <w:rFonts w:hint="eastAsia"/>
          <w:bCs/>
          <w:szCs w:val="30"/>
          <w:lang w:val="en-US" w:eastAsia="zh-CN"/>
        </w:rPr>
      </w:pPr>
      <w:r>
        <w:rPr>
          <w:rFonts w:hint="eastAsia"/>
          <w:bCs/>
          <w:szCs w:val="30"/>
          <w:lang w:val="en-US" w:eastAsia="zh-CN"/>
        </w:rPr>
        <w:t>2019年我中心持续提升站位，以习近平总书记扶贫开发重要战略思想为指导，认真贯彻省委省政府、州委州政府、州民政局决策部署，统一思想，提高认识，把脱贫攻坚工作作为本部门重大的政治任务，恪守为民情怀，充分发挥部门优势，积极做好脱贫攻坚相关工作。</w:t>
      </w:r>
    </w:p>
    <w:p>
      <w:pPr>
        <w:pStyle w:val="3"/>
        <w:adjustRightInd w:val="0"/>
        <w:snapToGrid w:val="0"/>
        <w:spacing w:line="600" w:lineRule="exact"/>
        <w:ind w:firstLine="630" w:firstLineChars="210"/>
        <w:rPr>
          <w:rFonts w:hint="eastAsia"/>
          <w:bCs/>
          <w:szCs w:val="30"/>
          <w:lang w:val="en-US" w:eastAsia="zh-CN"/>
        </w:rPr>
      </w:pPr>
      <w:r>
        <w:rPr>
          <w:rFonts w:hint="eastAsia"/>
          <w:bCs/>
          <w:szCs w:val="30"/>
          <w:lang w:val="en-US" w:eastAsia="zh-CN"/>
        </w:rPr>
        <w:t>13、积极开展扫黑除恶宣传工作</w:t>
      </w:r>
    </w:p>
    <w:p>
      <w:pPr>
        <w:pStyle w:val="3"/>
        <w:adjustRightInd w:val="0"/>
        <w:snapToGrid w:val="0"/>
        <w:spacing w:line="600" w:lineRule="exact"/>
        <w:ind w:firstLine="630" w:firstLineChars="210"/>
        <w:rPr>
          <w:rFonts w:hint="eastAsia"/>
          <w:bCs/>
          <w:szCs w:val="30"/>
          <w:lang w:val="en-US" w:eastAsia="zh-CN"/>
        </w:rPr>
      </w:pPr>
      <w:r>
        <w:rPr>
          <w:rFonts w:hint="eastAsia"/>
          <w:bCs/>
          <w:szCs w:val="30"/>
          <w:lang w:val="en-US" w:eastAsia="zh-CN"/>
        </w:rPr>
        <w:t>我中心进一步提高政治站位，切实增强“四个意识”（政治意识、大局意识、核心意识、看齐意识），充分认识开展扫黑除恶专项斗争的重大意义，切实把思想和行动统一到党中央部署上来，认真做好扫黑除恶宣传工作，共计悬挂布标220余条，张贴各种宣传公告300余张，电话通知300余人次。</w:t>
      </w:r>
    </w:p>
    <w:p>
      <w:pPr>
        <w:pStyle w:val="3"/>
        <w:adjustRightInd w:val="0"/>
        <w:snapToGrid w:val="0"/>
        <w:spacing w:line="600" w:lineRule="exact"/>
        <w:ind w:firstLine="630" w:firstLineChars="210"/>
        <w:rPr>
          <w:rFonts w:hint="eastAsia"/>
          <w:bCs/>
          <w:szCs w:val="30"/>
          <w:lang w:val="en-US" w:eastAsia="zh-CN"/>
        </w:rPr>
      </w:pPr>
      <w:r>
        <w:rPr>
          <w:rFonts w:hint="eastAsia"/>
          <w:bCs/>
          <w:szCs w:val="30"/>
          <w:lang w:val="en-US" w:eastAsia="zh-CN"/>
        </w:rPr>
        <w:t>14、积极开展民族团结进步创建活动</w:t>
      </w:r>
    </w:p>
    <w:p>
      <w:pPr>
        <w:pStyle w:val="3"/>
        <w:adjustRightInd w:val="0"/>
        <w:snapToGrid w:val="0"/>
        <w:spacing w:line="600" w:lineRule="exact"/>
        <w:ind w:firstLine="630" w:firstLineChars="210"/>
        <w:rPr>
          <w:rFonts w:hint="eastAsia"/>
          <w:bCs/>
          <w:szCs w:val="30"/>
          <w:lang w:val="en-US" w:eastAsia="zh-CN"/>
        </w:rPr>
      </w:pPr>
      <w:r>
        <w:rPr>
          <w:rFonts w:hint="eastAsia"/>
          <w:bCs/>
          <w:szCs w:val="30"/>
          <w:lang w:val="en-US" w:eastAsia="zh-CN"/>
        </w:rPr>
        <w:t>积极配合局机关开展民族团结进步创建活动， 全面落实民族政策，为少数民族群众办实事、办好事。创建活动做到有计划、有方案、有部署、有总结、有成效，及时上报相关材料。</w:t>
      </w:r>
    </w:p>
    <w:p>
      <w:pPr>
        <w:spacing w:line="600" w:lineRule="exact"/>
        <w:ind w:firstLine="600" w:firstLineChars="200"/>
        <w:rPr>
          <w:rFonts w:hint="eastAsia" w:ascii="黑体" w:hAnsi="黑体" w:eastAsia="黑体"/>
          <w:sz w:val="30"/>
          <w:szCs w:val="30"/>
        </w:rPr>
      </w:pPr>
      <w:r>
        <w:rPr>
          <w:rFonts w:hint="eastAsia" w:ascii="黑体" w:hAnsi="黑体" w:eastAsia="黑体"/>
          <w:sz w:val="30"/>
          <w:szCs w:val="30"/>
        </w:rPr>
        <w:t>二、部门基本情况</w:t>
      </w:r>
    </w:p>
    <w:p>
      <w:pPr>
        <w:spacing w:line="600" w:lineRule="exact"/>
        <w:ind w:firstLine="600" w:firstLineChars="200"/>
        <w:rPr>
          <w:rFonts w:hint="eastAsia" w:ascii="楷体" w:hAnsi="楷体" w:eastAsia="楷体"/>
          <w:sz w:val="30"/>
          <w:szCs w:val="30"/>
        </w:rPr>
      </w:pPr>
      <w:r>
        <w:rPr>
          <w:rFonts w:hint="eastAsia" w:ascii="楷体" w:hAnsi="楷体" w:eastAsia="楷体"/>
          <w:sz w:val="30"/>
          <w:szCs w:val="30"/>
        </w:rPr>
        <w:t>（一）部门决算单位构成</w:t>
      </w:r>
    </w:p>
    <w:p>
      <w:pPr>
        <w:pStyle w:val="3"/>
        <w:adjustRightInd w:val="0"/>
        <w:snapToGrid w:val="0"/>
        <w:spacing w:line="600" w:lineRule="exact"/>
        <w:ind w:firstLine="630" w:firstLineChars="210"/>
        <w:rPr>
          <w:rFonts w:hint="eastAsia"/>
          <w:bCs/>
          <w:szCs w:val="30"/>
          <w:lang w:val="en-US" w:eastAsia="zh-CN"/>
        </w:rPr>
      </w:pPr>
      <w:r>
        <w:rPr>
          <w:rFonts w:hint="eastAsia"/>
          <w:bCs/>
          <w:szCs w:val="30"/>
          <w:lang w:val="en-US" w:eastAsia="zh-CN"/>
        </w:rPr>
        <w:t>纳入迪庆州福利彩票管理中心2019年度部门决算编报的单位共1个。其中：行政单位0个，参照公务员法管理的事业单位0个，其他事业单位1个。</w:t>
      </w:r>
    </w:p>
    <w:p>
      <w:pPr>
        <w:ind w:firstLine="600" w:firstLineChars="200"/>
        <w:rPr>
          <w:rFonts w:hint="eastAsia" w:ascii="楷体" w:hAnsi="楷体" w:eastAsia="楷体"/>
          <w:sz w:val="30"/>
          <w:szCs w:val="30"/>
          <w:highlight w:val="none"/>
        </w:rPr>
      </w:pPr>
      <w:r>
        <w:rPr>
          <w:rFonts w:hint="eastAsia" w:ascii="楷体" w:hAnsi="楷体" w:eastAsia="楷体"/>
          <w:sz w:val="30"/>
          <w:szCs w:val="30"/>
          <w:highlight w:val="none"/>
        </w:rPr>
        <w:t xml:space="preserve">（二）部门人员和车辆的编制及实有情况 </w:t>
      </w:r>
    </w:p>
    <w:p>
      <w:pPr>
        <w:pStyle w:val="3"/>
        <w:adjustRightInd w:val="0"/>
        <w:snapToGrid w:val="0"/>
        <w:spacing w:line="600" w:lineRule="exact"/>
        <w:ind w:firstLine="630" w:firstLineChars="210"/>
        <w:rPr>
          <w:rFonts w:hint="eastAsia"/>
          <w:bCs/>
          <w:szCs w:val="30"/>
          <w:lang w:val="en-US" w:eastAsia="zh-CN"/>
        </w:rPr>
      </w:pPr>
      <w:r>
        <w:rPr>
          <w:rFonts w:hint="eastAsia"/>
          <w:bCs/>
          <w:szCs w:val="30"/>
          <w:lang w:val="en-US" w:eastAsia="zh-CN"/>
        </w:rPr>
        <w:t>迪庆州福利彩票管理中心2019年末实有人员编制3人。其中：行政编制0人（含行政工勤编制0人），事业编制3人（含参公管理事业编制0人）；在职在编实有行政人员0人（含行政工勤人员0人），事业人员3人（含参公管理事业人员0人）。其他人员0人，离退休人员0人。其中：离休0人，退休0人。</w:t>
      </w:r>
    </w:p>
    <w:p>
      <w:pPr>
        <w:pStyle w:val="3"/>
        <w:adjustRightInd w:val="0"/>
        <w:snapToGrid w:val="0"/>
        <w:spacing w:line="600" w:lineRule="exact"/>
        <w:ind w:firstLine="630" w:firstLineChars="210"/>
        <w:rPr>
          <w:rFonts w:hint="eastAsia"/>
          <w:bCs/>
          <w:szCs w:val="30"/>
          <w:lang w:val="en-US" w:eastAsia="zh-CN"/>
        </w:rPr>
      </w:pPr>
      <w:r>
        <w:rPr>
          <w:rFonts w:hint="eastAsia"/>
          <w:bCs/>
          <w:szCs w:val="30"/>
          <w:lang w:val="en-US" w:eastAsia="zh-CN"/>
        </w:rPr>
        <w:t>实有车辆编制1辆，在编实有车辆1辆。</w:t>
      </w:r>
    </w:p>
    <w:p>
      <w:pPr>
        <w:jc w:val="center"/>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2019</w:t>
      </w:r>
      <w:r>
        <w:rPr>
          <w:rFonts w:hint="eastAsia" w:ascii="黑体" w:hAnsi="黑体" w:eastAsia="黑体"/>
          <w:sz w:val="32"/>
          <w:szCs w:val="32"/>
        </w:rPr>
        <w:t>年度部门决算表</w:t>
      </w:r>
    </w:p>
    <w:p>
      <w:pPr>
        <w:spacing w:line="600" w:lineRule="exact"/>
        <w:ind w:firstLine="600" w:firstLineChars="200"/>
        <w:jc w:val="center"/>
        <w:rPr>
          <w:rFonts w:hint="eastAsia" w:ascii="仿宋_GB2312" w:eastAsia="仿宋_GB2312"/>
          <w:sz w:val="30"/>
          <w:szCs w:val="30"/>
        </w:rPr>
      </w:pPr>
      <w:r>
        <w:rPr>
          <w:rFonts w:hint="eastAsia" w:ascii="仿宋_GB2312" w:eastAsia="仿宋_GB2312"/>
          <w:sz w:val="30"/>
          <w:szCs w:val="30"/>
        </w:rPr>
        <w:t>（详见附件）</w:t>
      </w:r>
    </w:p>
    <w:p>
      <w:pPr>
        <w:spacing w:line="600" w:lineRule="exact"/>
        <w:ind w:firstLine="600" w:firstLineChars="200"/>
        <w:jc w:val="center"/>
        <w:rPr>
          <w:rFonts w:hint="eastAsia" w:ascii="仿宋_GB2312" w:eastAsia="仿宋_GB2312"/>
          <w:sz w:val="30"/>
          <w:szCs w:val="30"/>
        </w:rPr>
      </w:pPr>
    </w:p>
    <w:p>
      <w:pPr>
        <w:jc w:val="center"/>
        <w:rPr>
          <w:rFonts w:hint="eastAsia" w:ascii="黑体" w:hAnsi="黑体" w:eastAsia="黑体"/>
          <w:sz w:val="32"/>
          <w:szCs w:val="32"/>
        </w:rPr>
      </w:pPr>
      <w:r>
        <w:rPr>
          <w:rFonts w:hint="eastAsia" w:ascii="黑体" w:hAnsi="黑体" w:eastAsia="黑体"/>
          <w:sz w:val="32"/>
          <w:szCs w:val="32"/>
        </w:rPr>
        <w:t>第三部</w:t>
      </w:r>
      <w:r>
        <w:rPr>
          <w:rFonts w:hint="eastAsia" w:ascii="黑体" w:hAnsi="黑体" w:eastAsia="黑体"/>
          <w:sz w:val="32"/>
          <w:szCs w:val="32"/>
          <w:lang w:eastAsia="zh-CN"/>
        </w:rPr>
        <w:t>分</w:t>
      </w:r>
      <w:r>
        <w:rPr>
          <w:rFonts w:hint="eastAsia" w:ascii="黑体" w:hAnsi="黑体" w:eastAsia="黑体"/>
          <w:sz w:val="32"/>
          <w:szCs w:val="32"/>
        </w:rPr>
        <w:t xml:space="preserve">  </w:t>
      </w:r>
      <w:r>
        <w:rPr>
          <w:rFonts w:hint="eastAsia" w:ascii="黑体" w:hAnsi="黑体" w:eastAsia="黑体"/>
          <w:sz w:val="32"/>
          <w:szCs w:val="32"/>
          <w:lang w:val="en-US" w:eastAsia="zh-CN"/>
        </w:rPr>
        <w:t>2019</w:t>
      </w:r>
      <w:r>
        <w:rPr>
          <w:rFonts w:hint="eastAsia" w:ascii="黑体" w:hAnsi="黑体" w:eastAsia="黑体"/>
          <w:sz w:val="32"/>
          <w:szCs w:val="32"/>
        </w:rPr>
        <w:t>年度部门决算情况说明</w:t>
      </w:r>
    </w:p>
    <w:p>
      <w:pPr>
        <w:ind w:firstLine="600" w:firstLineChars="200"/>
        <w:jc w:val="left"/>
        <w:rPr>
          <w:rFonts w:hint="eastAsia" w:ascii="黑体" w:hAnsi="黑体" w:eastAsia="黑体"/>
          <w:sz w:val="30"/>
          <w:szCs w:val="30"/>
        </w:rPr>
      </w:pPr>
      <w:r>
        <w:rPr>
          <w:rFonts w:hint="eastAsia" w:ascii="黑体" w:hAnsi="黑体" w:eastAsia="黑体"/>
          <w:sz w:val="30"/>
          <w:szCs w:val="30"/>
        </w:rPr>
        <w:t>一、收入决算情况说明</w:t>
      </w:r>
    </w:p>
    <w:p>
      <w:pPr>
        <w:pStyle w:val="3"/>
        <w:adjustRightInd w:val="0"/>
        <w:snapToGrid w:val="0"/>
        <w:spacing w:line="600" w:lineRule="exact"/>
        <w:ind w:firstLine="630" w:firstLineChars="210"/>
        <w:rPr>
          <w:rFonts w:hint="eastAsia"/>
          <w:bCs/>
          <w:szCs w:val="30"/>
          <w:lang w:val="en-US" w:eastAsia="zh-CN"/>
        </w:rPr>
      </w:pPr>
      <w:r>
        <w:rPr>
          <w:rFonts w:hint="eastAsia"/>
          <w:bCs/>
          <w:szCs w:val="30"/>
          <w:lang w:val="en-US" w:eastAsia="zh-CN"/>
        </w:rPr>
        <w:t>迪庆州福利彩票管理中心2019年度收入合计587.38万元。其中：财政拨款收入587.38万元，占总收入的100%；上级补助收入0万元，占总收入的0%；事业收入0万元（含教育收费0万元），占总收入的0%；经营收入0万元，占总收入的0%；附属单位缴款收入0万元，占总收入的0%；其他收入0万元，占总收入的0%。比上年同期收入数734.56万元减少147.18万元，下降25%。主要原因为上年度省中心下拨了综合体验大厅装修费用。</w:t>
      </w:r>
    </w:p>
    <w:p>
      <w:pPr>
        <w:ind w:firstLine="600" w:firstLineChars="200"/>
        <w:jc w:val="left"/>
        <w:rPr>
          <w:rFonts w:hint="eastAsia" w:ascii="黑体" w:hAnsi="黑体" w:eastAsia="黑体"/>
          <w:sz w:val="30"/>
          <w:szCs w:val="30"/>
        </w:rPr>
      </w:pPr>
      <w:r>
        <w:rPr>
          <w:rFonts w:hint="eastAsia" w:ascii="黑体" w:hAnsi="黑体" w:eastAsia="黑体"/>
          <w:sz w:val="30"/>
          <w:szCs w:val="30"/>
        </w:rPr>
        <w:t>二、支出决算情况说明</w:t>
      </w:r>
    </w:p>
    <w:p>
      <w:pPr>
        <w:pStyle w:val="3"/>
        <w:adjustRightInd w:val="0"/>
        <w:snapToGrid w:val="0"/>
        <w:spacing w:line="600" w:lineRule="exact"/>
        <w:ind w:firstLine="630" w:firstLineChars="210"/>
        <w:rPr>
          <w:rFonts w:hint="eastAsia"/>
          <w:bCs/>
          <w:szCs w:val="30"/>
          <w:lang w:val="en-US" w:eastAsia="zh-CN"/>
        </w:rPr>
      </w:pPr>
      <w:r>
        <w:rPr>
          <w:rFonts w:hint="eastAsia"/>
          <w:bCs/>
          <w:szCs w:val="30"/>
          <w:lang w:val="en-US" w:eastAsia="zh-CN"/>
        </w:rPr>
        <w:t>迪庆州福利彩票管理中心2019年度支出合计584.19万元。其中：基本支出69.00万元，占总支出的12％；项目支出515.19万元，占总支出的88％；上缴上级支出、经营支出、对附属单位补助支出共0万元，占总支出的0％。比上年同期支出数647.52万元减少63.33万元，下降10%。主要原因是：上年度福彩体检大厅的装修经费支出较大。</w:t>
      </w:r>
    </w:p>
    <w:p>
      <w:pPr>
        <w:widowControl/>
        <w:snapToGrid w:val="0"/>
        <w:spacing w:before="100" w:after="100" w:line="600" w:lineRule="exact"/>
        <w:ind w:firstLine="600" w:firstLineChars="200"/>
        <w:jc w:val="left"/>
        <w:rPr>
          <w:rFonts w:hint="eastAsia" w:ascii="楷体" w:hAnsi="楷体" w:eastAsia="楷体"/>
          <w:sz w:val="30"/>
          <w:szCs w:val="30"/>
        </w:rPr>
      </w:pPr>
      <w:r>
        <w:rPr>
          <w:rFonts w:hint="eastAsia" w:ascii="楷体" w:hAnsi="楷体" w:eastAsia="楷体"/>
          <w:sz w:val="30"/>
          <w:szCs w:val="30"/>
        </w:rPr>
        <w:t>（一）基本支出情况</w:t>
      </w:r>
    </w:p>
    <w:p>
      <w:pPr>
        <w:pStyle w:val="3"/>
        <w:adjustRightInd w:val="0"/>
        <w:snapToGrid w:val="0"/>
        <w:spacing w:line="600" w:lineRule="exact"/>
        <w:ind w:firstLine="630" w:firstLineChars="210"/>
        <w:rPr>
          <w:rFonts w:hint="eastAsia"/>
          <w:bCs/>
          <w:szCs w:val="30"/>
          <w:lang w:val="en-US" w:eastAsia="zh-CN"/>
        </w:rPr>
      </w:pPr>
      <w:r>
        <w:rPr>
          <w:rFonts w:hint="eastAsia"/>
          <w:bCs/>
          <w:szCs w:val="30"/>
          <w:lang w:val="en-US" w:eastAsia="zh-CN"/>
        </w:rPr>
        <w:t>2019年度用于保障迪庆州福利彩票管理中心机构正常运转的日常支出69.00万元。与上年同期支出数71.14万元减少2.14万元，主要原因是人员工资调资及养老保险减少等原因。包括基本工资、津贴补贴等人员经费支出占基本支出的95％；办公费、印刷费、水电费、办公设备购置等日常公用经费占基本支出的5％。</w:t>
      </w:r>
    </w:p>
    <w:p>
      <w:pPr>
        <w:widowControl/>
        <w:snapToGrid w:val="0"/>
        <w:spacing w:before="100" w:after="100" w:line="600" w:lineRule="exact"/>
        <w:ind w:firstLine="600" w:firstLineChars="200"/>
        <w:jc w:val="left"/>
        <w:rPr>
          <w:rFonts w:hint="eastAsia" w:ascii="楷体" w:hAnsi="楷体" w:eastAsia="楷体"/>
          <w:sz w:val="30"/>
          <w:szCs w:val="30"/>
        </w:rPr>
      </w:pPr>
      <w:r>
        <w:rPr>
          <w:rFonts w:hint="eastAsia" w:ascii="楷体" w:hAnsi="楷体" w:eastAsia="楷体"/>
          <w:sz w:val="30"/>
          <w:szCs w:val="30"/>
        </w:rPr>
        <w:t>（二）项目支出情况</w:t>
      </w:r>
    </w:p>
    <w:p>
      <w:pPr>
        <w:pStyle w:val="3"/>
        <w:adjustRightInd w:val="0"/>
        <w:snapToGrid w:val="0"/>
        <w:spacing w:line="600" w:lineRule="exact"/>
        <w:ind w:firstLine="630" w:firstLineChars="210"/>
        <w:rPr>
          <w:rFonts w:hint="default"/>
          <w:bCs/>
          <w:szCs w:val="30"/>
          <w:lang w:val="en-US" w:eastAsia="zh-CN"/>
        </w:rPr>
      </w:pPr>
      <w:r>
        <w:rPr>
          <w:rFonts w:hint="eastAsia"/>
          <w:bCs/>
          <w:szCs w:val="30"/>
          <w:lang w:val="en-US" w:eastAsia="zh-CN"/>
        </w:rPr>
        <w:t>2019年度用于保障迪庆州福利彩票管理中心为完成特定的行政工作任务或事业发展目标，用于专项业务工作的经费支出515.19万元。与上年同期数576.37万元减少61.18万元，主要原因上年度福彩体检大厅的装修经费支出较大。1、福彩基础设施建设，使福彩中心的各项工作在安全、高效环境中运行。2、扶贫建设支出。3、福彩宣传工作支出。4、福彩站点安全用电建设支出。</w:t>
      </w:r>
    </w:p>
    <w:p>
      <w:pPr>
        <w:widowControl/>
        <w:snapToGrid w:val="0"/>
        <w:spacing w:before="100" w:after="100" w:line="600" w:lineRule="exact"/>
        <w:ind w:firstLine="600" w:firstLineChars="200"/>
        <w:jc w:val="left"/>
        <w:rPr>
          <w:rFonts w:hint="eastAsia" w:ascii="黑体" w:hAnsi="黑体" w:eastAsia="黑体"/>
          <w:sz w:val="30"/>
          <w:szCs w:val="30"/>
        </w:rPr>
      </w:pPr>
      <w:r>
        <w:rPr>
          <w:rFonts w:hint="eastAsia" w:ascii="黑体" w:hAnsi="黑体" w:eastAsia="黑体"/>
          <w:sz w:val="30"/>
          <w:szCs w:val="30"/>
        </w:rPr>
        <w:t>三、一般公共预算财政拨款支出决算情况说明</w:t>
      </w:r>
    </w:p>
    <w:p>
      <w:pPr>
        <w:widowControl/>
        <w:snapToGrid w:val="0"/>
        <w:spacing w:before="100" w:after="100" w:line="600" w:lineRule="exact"/>
        <w:ind w:firstLine="600" w:firstLineChars="200"/>
        <w:jc w:val="left"/>
        <w:rPr>
          <w:rFonts w:hint="eastAsia" w:ascii="楷体" w:hAnsi="楷体" w:eastAsia="楷体"/>
          <w:sz w:val="30"/>
          <w:szCs w:val="30"/>
        </w:rPr>
      </w:pPr>
      <w:r>
        <w:rPr>
          <w:rFonts w:hint="eastAsia" w:ascii="楷体" w:hAnsi="楷体" w:eastAsia="楷体"/>
          <w:sz w:val="30"/>
          <w:szCs w:val="30"/>
        </w:rPr>
        <w:t>（一）一般公共预算财政拨款支出决算总体情况</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left"/>
        <w:textAlignment w:val="auto"/>
        <w:rPr>
          <w:rFonts w:hint="eastAsia" w:ascii="楷体" w:hAnsi="楷体" w:eastAsia="楷体"/>
          <w:sz w:val="30"/>
          <w:szCs w:val="30"/>
          <w:lang w:val="en-US" w:eastAsia="zh-CN"/>
        </w:rPr>
      </w:pPr>
      <w:r>
        <w:rPr>
          <w:rFonts w:hint="eastAsia" w:ascii="仿宋_GB2312" w:eastAsia="仿宋_GB2312"/>
          <w:bCs/>
          <w:kern w:val="2"/>
          <w:sz w:val="30"/>
          <w:szCs w:val="30"/>
          <w:lang w:val="en-US" w:eastAsia="zh-CN" w:bidi="ar-SA"/>
        </w:rPr>
        <w:t xml:space="preserve">迪庆州福利彩票管理中心2019年度一般公共预算财政拨款支出69.69万元（基本支出69万元，项目支出0.69万元）。占本年支出合计的12%。与上年同期支出数71.14万元减少2.14万元，主要原因是人员工资调资及养老保险减少等原因。               </w:t>
      </w:r>
      <w:r>
        <w:rPr>
          <w:rFonts w:hint="eastAsia" w:ascii="楷体" w:hAnsi="楷体" w:eastAsia="楷体"/>
          <w:sz w:val="30"/>
          <w:szCs w:val="30"/>
          <w:lang w:val="en-US" w:eastAsia="zh-CN"/>
        </w:rPr>
        <w:t xml:space="preserve">          </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300" w:firstLineChars="100"/>
        <w:jc w:val="left"/>
        <w:textAlignment w:val="auto"/>
        <w:rPr>
          <w:rFonts w:hint="eastAsia" w:ascii="楷体" w:hAnsi="楷体" w:eastAsia="楷体"/>
          <w:sz w:val="30"/>
          <w:szCs w:val="30"/>
        </w:rPr>
      </w:pPr>
      <w:r>
        <w:rPr>
          <w:rFonts w:hint="eastAsia" w:ascii="楷体" w:hAnsi="楷体" w:eastAsia="楷体"/>
          <w:sz w:val="30"/>
          <w:szCs w:val="30"/>
          <w:lang w:val="en-US" w:eastAsia="zh-CN"/>
        </w:rPr>
        <w:t xml:space="preserve"> （</w:t>
      </w:r>
      <w:r>
        <w:rPr>
          <w:rFonts w:hint="eastAsia" w:ascii="楷体" w:hAnsi="楷体" w:eastAsia="楷体"/>
          <w:sz w:val="30"/>
          <w:szCs w:val="30"/>
        </w:rPr>
        <w:t>二）一般公共预算财政拨款支出决算具体情况</w:t>
      </w:r>
      <w:r>
        <w:rPr>
          <w:rFonts w:hint="eastAsia" w:ascii="楷体" w:hAnsi="楷体" w:eastAsia="楷体"/>
          <w:sz w:val="30"/>
          <w:szCs w:val="30"/>
        </w:rPr>
        <w:tab/>
      </w:r>
      <w:r>
        <w:rPr>
          <w:rFonts w:hint="eastAsia" w:ascii="楷体" w:hAnsi="楷体" w:eastAsia="楷体"/>
          <w:sz w:val="30"/>
          <w:szCs w:val="30"/>
        </w:rPr>
        <w:tab/>
      </w:r>
      <w:r>
        <w:rPr>
          <w:rFonts w:hint="eastAsia" w:ascii="楷体" w:hAnsi="楷体" w:eastAsia="楷体"/>
          <w:sz w:val="30"/>
          <w:szCs w:val="30"/>
        </w:rPr>
        <w:tab/>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left"/>
        <w:textAlignment w:val="auto"/>
        <w:rPr>
          <w:rFonts w:hint="eastAsia" w:ascii="仿宋_GB2312" w:eastAsia="仿宋_GB2312"/>
          <w:bCs/>
          <w:kern w:val="2"/>
          <w:sz w:val="30"/>
          <w:szCs w:val="30"/>
          <w:lang w:val="en-US" w:eastAsia="zh-CN" w:bidi="ar-SA"/>
        </w:rPr>
      </w:pPr>
      <w:r>
        <w:rPr>
          <w:rFonts w:hint="eastAsia" w:ascii="仿宋_GB2312" w:eastAsia="仿宋_GB2312"/>
          <w:bCs/>
          <w:kern w:val="2"/>
          <w:sz w:val="30"/>
          <w:szCs w:val="30"/>
          <w:lang w:val="en-US" w:eastAsia="zh-CN" w:bidi="ar-SA"/>
        </w:rPr>
        <w:t>1.一般公共服务（类）支出0.54万元，占一般公共预算财政拨款总支出的0.75%。主要用于办公取暖费用电费。</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left"/>
        <w:textAlignment w:val="auto"/>
        <w:rPr>
          <w:rFonts w:hint="eastAsia" w:ascii="仿宋_GB2312" w:eastAsia="仿宋_GB2312"/>
          <w:bCs/>
          <w:kern w:val="2"/>
          <w:sz w:val="30"/>
          <w:szCs w:val="30"/>
          <w:lang w:val="en-US" w:eastAsia="zh-CN" w:bidi="ar-SA"/>
        </w:rPr>
      </w:pPr>
      <w:r>
        <w:rPr>
          <w:rFonts w:hint="eastAsia" w:ascii="仿宋_GB2312" w:eastAsia="仿宋_GB2312"/>
          <w:bCs/>
          <w:kern w:val="2"/>
          <w:sz w:val="30"/>
          <w:szCs w:val="30"/>
          <w:lang w:val="en-US" w:eastAsia="zh-CN" w:bidi="ar-SA"/>
        </w:rPr>
        <w:t>2.社会保障就业支出60.45万元，占一般公共预算财政拨款总支出的86%。主要用于事业单位人员工资及养老保险等费用。</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left"/>
        <w:textAlignment w:val="auto"/>
        <w:rPr>
          <w:rFonts w:hint="eastAsia" w:ascii="仿宋_GB2312" w:eastAsia="仿宋_GB2312"/>
          <w:b w:val="0"/>
          <w:bCs/>
          <w:kern w:val="2"/>
          <w:sz w:val="30"/>
          <w:szCs w:val="30"/>
          <w:lang w:val="en-US" w:eastAsia="zh-CN" w:bidi="ar-SA"/>
        </w:rPr>
      </w:pPr>
      <w:r>
        <w:rPr>
          <w:rFonts w:hint="eastAsia" w:ascii="仿宋_GB2312" w:hAnsi="Times New Roman" w:eastAsia="仿宋_GB2312"/>
          <w:b w:val="0"/>
          <w:bCs/>
          <w:kern w:val="2"/>
          <w:sz w:val="30"/>
          <w:szCs w:val="30"/>
          <w:lang w:val="en-US" w:eastAsia="zh-CN" w:bidi="ar-SA"/>
        </w:rPr>
        <w:t>3.健康卫生支出4.36万元，占一般公共预算财政拨款总支出的6.3%。</w:t>
      </w:r>
      <w:r>
        <w:rPr>
          <w:rFonts w:hint="eastAsia" w:ascii="仿宋_GB2312" w:eastAsia="仿宋_GB2312"/>
          <w:b w:val="0"/>
          <w:bCs/>
          <w:kern w:val="2"/>
          <w:sz w:val="30"/>
          <w:szCs w:val="30"/>
          <w:lang w:val="en-US" w:eastAsia="zh-CN" w:bidi="ar-SA"/>
        </w:rPr>
        <w:t>主要用于事业单位医疗保险、体检费等费用。</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left"/>
        <w:textAlignment w:val="auto"/>
        <w:rPr>
          <w:rFonts w:hint="default" w:ascii="仿宋_GB2312" w:eastAsia="仿宋_GB2312"/>
          <w:bCs/>
          <w:kern w:val="2"/>
          <w:sz w:val="30"/>
          <w:szCs w:val="30"/>
          <w:lang w:val="en-US" w:eastAsia="zh-CN" w:bidi="ar-SA"/>
        </w:rPr>
      </w:pPr>
      <w:r>
        <w:rPr>
          <w:rFonts w:hint="eastAsia" w:ascii="仿宋_GB2312" w:eastAsia="仿宋_GB2312"/>
          <w:bCs/>
          <w:kern w:val="2"/>
          <w:sz w:val="30"/>
          <w:szCs w:val="30"/>
          <w:lang w:val="en-US" w:eastAsia="zh-CN" w:bidi="ar-SA"/>
        </w:rPr>
        <w:t>4、住房保障支出4.34万元，占一般公共预算财政拨款总支出的6.2%。主要用于事业单位人员住房公积金支出。</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left"/>
        <w:textAlignment w:val="auto"/>
        <w:rPr>
          <w:rFonts w:hint="default"/>
          <w:lang w:val="en-US" w:eastAsia="zh-CN"/>
        </w:rPr>
      </w:pPr>
      <w:r>
        <w:rPr>
          <w:rFonts w:hint="eastAsia" w:ascii="仿宋_GB2312" w:eastAsia="仿宋_GB2312"/>
          <w:bCs/>
          <w:kern w:val="2"/>
          <w:sz w:val="30"/>
          <w:szCs w:val="30"/>
          <w:lang w:val="en-US" w:eastAsia="zh-CN" w:bidi="ar-SA"/>
        </w:rPr>
        <w:t>5.外交（类）支出0万元，占一般公共预算财政拨款总支出的0%。</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left"/>
        <w:textAlignment w:val="auto"/>
        <w:rPr>
          <w:rFonts w:hint="eastAsia" w:ascii="仿宋_GB2312" w:eastAsia="仿宋_GB2312"/>
          <w:bCs/>
          <w:kern w:val="2"/>
          <w:sz w:val="30"/>
          <w:szCs w:val="30"/>
          <w:lang w:val="en-US" w:eastAsia="zh-CN" w:bidi="ar-SA"/>
        </w:rPr>
      </w:pPr>
      <w:r>
        <w:rPr>
          <w:rFonts w:hint="eastAsia" w:ascii="仿宋_GB2312" w:eastAsia="仿宋_GB2312"/>
          <w:bCs/>
          <w:kern w:val="2"/>
          <w:sz w:val="30"/>
          <w:szCs w:val="30"/>
          <w:lang w:val="en-US" w:eastAsia="zh-CN" w:bidi="ar-SA"/>
        </w:rPr>
        <w:t>6.国防（类）支出0万元，占一般公共预算财政拨款总支出的0%。</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left"/>
        <w:textAlignment w:val="auto"/>
        <w:rPr>
          <w:rFonts w:hint="eastAsia" w:ascii="仿宋_GB2312" w:eastAsia="仿宋_GB2312"/>
          <w:bCs/>
          <w:kern w:val="2"/>
          <w:sz w:val="30"/>
          <w:szCs w:val="30"/>
          <w:lang w:val="en-US" w:eastAsia="zh-CN" w:bidi="ar-SA"/>
        </w:rPr>
      </w:pPr>
      <w:r>
        <w:rPr>
          <w:rFonts w:hint="eastAsia" w:ascii="仿宋_GB2312" w:eastAsia="仿宋_GB2312"/>
          <w:bCs/>
          <w:kern w:val="2"/>
          <w:sz w:val="30"/>
          <w:szCs w:val="30"/>
          <w:lang w:val="en-US" w:eastAsia="zh-CN" w:bidi="ar-SA"/>
        </w:rPr>
        <w:t>7.公共安全（类）支出0万元，占一般公共预算财政拨款总支出的0%。</w:t>
      </w:r>
    </w:p>
    <w:p>
      <w:pPr>
        <w:widowControl/>
        <w:snapToGrid w:val="0"/>
        <w:spacing w:before="100" w:after="100" w:line="360" w:lineRule="auto"/>
        <w:ind w:firstLine="600" w:firstLineChars="200"/>
        <w:jc w:val="left"/>
        <w:rPr>
          <w:rFonts w:hint="eastAsia" w:ascii="黑体" w:hAnsi="黑体" w:eastAsia="黑体"/>
          <w:sz w:val="30"/>
          <w:szCs w:val="30"/>
        </w:rPr>
      </w:pPr>
      <w:r>
        <w:rPr>
          <w:rFonts w:hint="eastAsia" w:ascii="黑体" w:hAnsi="黑体" w:eastAsia="黑体"/>
          <w:sz w:val="30"/>
          <w:szCs w:val="30"/>
        </w:rPr>
        <w:t>四、一般公共预算财政拨款“三公”经费支出决算情况说明</w:t>
      </w:r>
    </w:p>
    <w:p>
      <w:pPr>
        <w:widowControl/>
        <w:snapToGrid w:val="0"/>
        <w:spacing w:before="100" w:after="100" w:line="360" w:lineRule="auto"/>
        <w:ind w:firstLine="600" w:firstLineChars="200"/>
        <w:jc w:val="left"/>
        <w:rPr>
          <w:rFonts w:hint="eastAsia" w:ascii="楷体" w:hAnsi="楷体" w:eastAsia="楷体"/>
          <w:sz w:val="30"/>
          <w:szCs w:val="30"/>
        </w:rPr>
      </w:pPr>
      <w:r>
        <w:rPr>
          <w:rFonts w:hint="eastAsia" w:ascii="楷体" w:hAnsi="楷体" w:eastAsia="楷体"/>
          <w:sz w:val="30"/>
          <w:szCs w:val="30"/>
        </w:rPr>
        <w:t>(一)</w:t>
      </w:r>
      <w:r>
        <w:rPr>
          <w:rFonts w:hint="eastAsia" w:ascii="黑体" w:hAnsi="黑体" w:eastAsia="黑体"/>
          <w:sz w:val="30"/>
          <w:szCs w:val="30"/>
        </w:rPr>
        <w:t xml:space="preserve"> </w:t>
      </w:r>
      <w:r>
        <w:rPr>
          <w:rFonts w:hint="eastAsia" w:ascii="楷体" w:hAnsi="楷体" w:eastAsia="楷体"/>
          <w:sz w:val="30"/>
          <w:szCs w:val="30"/>
        </w:rPr>
        <w:t>一般公共预算财政拨款“三公”经费支出决算总体情况</w:t>
      </w:r>
    </w:p>
    <w:p>
      <w:pPr>
        <w:widowControl/>
        <w:snapToGrid w:val="0"/>
        <w:spacing w:before="100" w:after="100" w:line="360" w:lineRule="auto"/>
        <w:ind w:firstLine="600" w:firstLineChars="200"/>
        <w:jc w:val="left"/>
        <w:rPr>
          <w:rFonts w:hint="eastAsia" w:ascii="仿宋_GB2312" w:eastAsia="仿宋_GB2312"/>
          <w:sz w:val="30"/>
          <w:szCs w:val="30"/>
        </w:rPr>
      </w:pPr>
      <w:r>
        <w:rPr>
          <w:rFonts w:hint="eastAsia" w:ascii="仿宋_GB2312" w:eastAsia="仿宋_GB2312"/>
          <w:sz w:val="30"/>
          <w:szCs w:val="30"/>
          <w:lang w:eastAsia="zh-CN"/>
        </w:rPr>
        <w:t>迪庆州福利彩票管理中心</w:t>
      </w:r>
      <w:r>
        <w:rPr>
          <w:rFonts w:hint="eastAsia" w:ascii="仿宋_GB2312" w:eastAsia="仿宋_GB2312"/>
          <w:sz w:val="30"/>
          <w:szCs w:val="30"/>
          <w:lang w:val="en-US" w:eastAsia="zh-CN"/>
        </w:rPr>
        <w:t>2019</w:t>
      </w:r>
      <w:r>
        <w:rPr>
          <w:rFonts w:hint="eastAsia" w:ascii="仿宋_GB2312" w:eastAsia="仿宋_GB2312"/>
          <w:sz w:val="30"/>
          <w:szCs w:val="30"/>
        </w:rPr>
        <w:t>年度一般公共预算财政拨款“三公”经费支出预算为</w:t>
      </w:r>
      <w:r>
        <w:rPr>
          <w:rFonts w:hint="eastAsia" w:ascii="仿宋_GB2312" w:eastAsia="仿宋_GB2312"/>
          <w:sz w:val="30"/>
          <w:szCs w:val="30"/>
          <w:lang w:val="en-US" w:eastAsia="zh-CN"/>
        </w:rPr>
        <w:t>1.74</w:t>
      </w:r>
      <w:r>
        <w:rPr>
          <w:rFonts w:hint="eastAsia" w:ascii="仿宋_GB2312" w:eastAsia="仿宋_GB2312"/>
          <w:sz w:val="30"/>
          <w:szCs w:val="30"/>
        </w:rPr>
        <w:t>万元，支出决算为</w:t>
      </w:r>
      <w:r>
        <w:rPr>
          <w:rFonts w:hint="eastAsia" w:ascii="仿宋_GB2312" w:eastAsia="仿宋_GB2312"/>
          <w:sz w:val="30"/>
          <w:szCs w:val="30"/>
          <w:lang w:val="en-US" w:eastAsia="zh-CN"/>
        </w:rPr>
        <w:t>1.74</w:t>
      </w:r>
      <w:r>
        <w:rPr>
          <w:rFonts w:hint="eastAsia" w:ascii="仿宋_GB2312" w:eastAsia="仿宋_GB2312"/>
          <w:sz w:val="30"/>
          <w:szCs w:val="30"/>
        </w:rPr>
        <w:t>万元，完成预算的</w:t>
      </w:r>
      <w:r>
        <w:rPr>
          <w:rFonts w:hint="eastAsia" w:ascii="仿宋_GB2312" w:eastAsia="仿宋_GB2312"/>
          <w:sz w:val="30"/>
          <w:szCs w:val="30"/>
          <w:lang w:val="en-US" w:eastAsia="zh-CN"/>
        </w:rPr>
        <w:t>100</w:t>
      </w:r>
      <w:r>
        <w:rPr>
          <w:rFonts w:hint="eastAsia" w:ascii="仿宋_GB2312" w:eastAsia="仿宋_GB2312"/>
          <w:sz w:val="30"/>
          <w:szCs w:val="30"/>
        </w:rPr>
        <w:t>%。其中：因公出国（境）费支出决算为</w:t>
      </w:r>
      <w:r>
        <w:rPr>
          <w:rFonts w:hint="eastAsia" w:ascii="仿宋_GB2312" w:eastAsia="仿宋_GB2312"/>
          <w:sz w:val="30"/>
          <w:szCs w:val="30"/>
          <w:lang w:val="en-US" w:eastAsia="zh-CN"/>
        </w:rPr>
        <w:t>0</w:t>
      </w:r>
      <w:r>
        <w:rPr>
          <w:rFonts w:hint="eastAsia" w:ascii="仿宋_GB2312" w:eastAsia="仿宋_GB2312"/>
          <w:sz w:val="30"/>
          <w:szCs w:val="30"/>
        </w:rPr>
        <w:t>万元，完成预算的</w:t>
      </w:r>
      <w:r>
        <w:rPr>
          <w:rFonts w:hint="eastAsia" w:ascii="仿宋_GB2312" w:eastAsia="仿宋_GB2312"/>
          <w:sz w:val="30"/>
          <w:szCs w:val="30"/>
          <w:lang w:val="en-US" w:eastAsia="zh-CN"/>
        </w:rPr>
        <w:t>0</w:t>
      </w:r>
      <w:r>
        <w:rPr>
          <w:rFonts w:hint="eastAsia" w:ascii="仿宋_GB2312" w:eastAsia="仿宋_GB2312"/>
          <w:sz w:val="30"/>
          <w:szCs w:val="30"/>
        </w:rPr>
        <w:t>%；公务用车购置及运行费支出决算为</w:t>
      </w:r>
      <w:r>
        <w:rPr>
          <w:rFonts w:hint="eastAsia" w:ascii="仿宋_GB2312" w:eastAsia="仿宋_GB2312"/>
          <w:sz w:val="30"/>
          <w:szCs w:val="30"/>
          <w:lang w:val="en-US" w:eastAsia="zh-CN"/>
        </w:rPr>
        <w:t>1.5</w:t>
      </w:r>
      <w:r>
        <w:rPr>
          <w:rFonts w:hint="eastAsia" w:ascii="仿宋_GB2312" w:eastAsia="仿宋_GB2312"/>
          <w:sz w:val="30"/>
          <w:szCs w:val="30"/>
        </w:rPr>
        <w:t>万元，完成预算的</w:t>
      </w:r>
      <w:r>
        <w:rPr>
          <w:rFonts w:hint="eastAsia" w:ascii="仿宋_GB2312" w:eastAsia="仿宋_GB2312"/>
          <w:sz w:val="30"/>
          <w:szCs w:val="30"/>
          <w:lang w:val="en-US" w:eastAsia="zh-CN"/>
        </w:rPr>
        <w:t>100</w:t>
      </w:r>
      <w:r>
        <w:rPr>
          <w:rFonts w:hint="eastAsia" w:ascii="仿宋_GB2312" w:eastAsia="仿宋_GB2312"/>
          <w:sz w:val="30"/>
          <w:szCs w:val="30"/>
        </w:rPr>
        <w:t>%；公务接待费支出决算为</w:t>
      </w:r>
      <w:r>
        <w:rPr>
          <w:rFonts w:hint="eastAsia" w:ascii="仿宋_GB2312" w:eastAsia="仿宋_GB2312"/>
          <w:sz w:val="30"/>
          <w:szCs w:val="30"/>
          <w:lang w:val="en-US" w:eastAsia="zh-CN"/>
        </w:rPr>
        <w:t>0.24</w:t>
      </w:r>
      <w:r>
        <w:rPr>
          <w:rFonts w:hint="eastAsia" w:ascii="仿宋_GB2312" w:eastAsia="仿宋_GB2312"/>
          <w:sz w:val="30"/>
          <w:szCs w:val="30"/>
        </w:rPr>
        <w:t>万元，完成预算的</w:t>
      </w:r>
      <w:r>
        <w:rPr>
          <w:rFonts w:hint="eastAsia" w:ascii="仿宋_GB2312" w:eastAsia="仿宋_GB2312"/>
          <w:sz w:val="30"/>
          <w:szCs w:val="30"/>
          <w:lang w:val="en-US" w:eastAsia="zh-CN"/>
        </w:rPr>
        <w:t>100</w:t>
      </w:r>
      <w:r>
        <w:rPr>
          <w:rFonts w:hint="eastAsia" w:ascii="仿宋_GB2312" w:eastAsia="仿宋_GB2312"/>
          <w:sz w:val="30"/>
          <w:szCs w:val="30"/>
        </w:rPr>
        <w:t>%。</w:t>
      </w:r>
      <w:r>
        <w:rPr>
          <w:rFonts w:hint="eastAsia" w:ascii="仿宋_GB2312" w:eastAsia="仿宋_GB2312"/>
          <w:sz w:val="30"/>
          <w:szCs w:val="30"/>
          <w:lang w:val="en-US" w:eastAsia="zh-CN"/>
        </w:rPr>
        <w:t>2019</w:t>
      </w:r>
      <w:r>
        <w:rPr>
          <w:rFonts w:hint="eastAsia" w:ascii="仿宋_GB2312" w:eastAsia="仿宋_GB2312"/>
          <w:sz w:val="30"/>
          <w:szCs w:val="30"/>
        </w:rPr>
        <w:t>年度一般公共预算财政拨款“三公”经费支出决算数</w:t>
      </w:r>
      <w:r>
        <w:rPr>
          <w:rFonts w:hint="eastAsia" w:ascii="仿宋_GB2312" w:eastAsia="仿宋_GB2312"/>
          <w:sz w:val="30"/>
          <w:szCs w:val="30"/>
          <w:lang w:eastAsia="zh-CN"/>
        </w:rPr>
        <w:t>与</w:t>
      </w:r>
      <w:r>
        <w:rPr>
          <w:rFonts w:hint="eastAsia" w:ascii="仿宋_GB2312" w:eastAsia="仿宋_GB2312"/>
          <w:sz w:val="30"/>
          <w:szCs w:val="30"/>
        </w:rPr>
        <w:t>预算数</w:t>
      </w:r>
      <w:r>
        <w:rPr>
          <w:rFonts w:hint="eastAsia" w:ascii="仿宋_GB2312" w:eastAsia="仿宋_GB2312"/>
          <w:sz w:val="30"/>
          <w:szCs w:val="30"/>
          <w:lang w:eastAsia="zh-CN"/>
        </w:rPr>
        <w:t>。</w:t>
      </w:r>
      <w:r>
        <w:rPr>
          <w:rFonts w:hint="eastAsia" w:ascii="仿宋_GB2312" w:eastAsia="仿宋_GB2312"/>
          <w:sz w:val="30"/>
          <w:szCs w:val="30"/>
          <w:lang w:val="en-US" w:eastAsia="zh-CN"/>
        </w:rPr>
        <w:t>2019</w:t>
      </w:r>
      <w:r>
        <w:rPr>
          <w:rFonts w:hint="eastAsia" w:ascii="仿宋_GB2312" w:eastAsia="仿宋_GB2312"/>
          <w:sz w:val="30"/>
          <w:szCs w:val="30"/>
        </w:rPr>
        <w:t>年度一般公共预算财政拨款“三公”经费支出决算数比</w:t>
      </w:r>
      <w:r>
        <w:rPr>
          <w:rFonts w:hint="eastAsia" w:ascii="仿宋_GB2312" w:eastAsia="仿宋_GB2312"/>
          <w:sz w:val="30"/>
          <w:szCs w:val="30"/>
          <w:lang w:val="en-US" w:eastAsia="zh-CN"/>
        </w:rPr>
        <w:t>2018</w:t>
      </w:r>
      <w:r>
        <w:rPr>
          <w:rFonts w:hint="eastAsia" w:ascii="仿宋_GB2312" w:eastAsia="仿宋_GB2312"/>
          <w:sz w:val="30"/>
          <w:szCs w:val="30"/>
        </w:rPr>
        <w:t>年增加</w:t>
      </w:r>
      <w:r>
        <w:rPr>
          <w:rFonts w:hint="eastAsia" w:ascii="仿宋_GB2312" w:eastAsia="仿宋_GB2312"/>
          <w:sz w:val="30"/>
          <w:szCs w:val="30"/>
          <w:lang w:val="en-US" w:eastAsia="zh-CN"/>
        </w:rPr>
        <w:t>0</w:t>
      </w:r>
      <w:r>
        <w:rPr>
          <w:rFonts w:hint="eastAsia" w:ascii="仿宋_GB2312" w:eastAsia="仿宋_GB2312"/>
          <w:sz w:val="30"/>
          <w:szCs w:val="30"/>
        </w:rPr>
        <w:t>万元，增长</w:t>
      </w:r>
      <w:r>
        <w:rPr>
          <w:rFonts w:hint="eastAsia" w:ascii="仿宋_GB2312" w:eastAsia="仿宋_GB2312"/>
          <w:sz w:val="30"/>
          <w:szCs w:val="30"/>
          <w:lang w:val="en-US" w:eastAsia="zh-CN"/>
        </w:rPr>
        <w:t>0</w:t>
      </w:r>
      <w:r>
        <w:rPr>
          <w:rFonts w:hint="eastAsia" w:ascii="仿宋_GB2312" w:eastAsia="仿宋_GB2312"/>
          <w:sz w:val="30"/>
          <w:szCs w:val="30"/>
        </w:rPr>
        <w:t>%。其中：因公出国（境）费支出决算增加</w:t>
      </w:r>
      <w:r>
        <w:rPr>
          <w:rFonts w:hint="eastAsia" w:ascii="仿宋_GB2312" w:eastAsia="仿宋_GB2312"/>
          <w:sz w:val="30"/>
          <w:szCs w:val="30"/>
          <w:lang w:val="en-US" w:eastAsia="zh-CN"/>
        </w:rPr>
        <w:t>0</w:t>
      </w:r>
      <w:r>
        <w:rPr>
          <w:rFonts w:hint="eastAsia" w:ascii="仿宋_GB2312" w:eastAsia="仿宋_GB2312"/>
          <w:sz w:val="30"/>
          <w:szCs w:val="30"/>
        </w:rPr>
        <w:t>万元，增长</w:t>
      </w:r>
      <w:r>
        <w:rPr>
          <w:rFonts w:hint="eastAsia" w:ascii="仿宋_GB2312" w:eastAsia="仿宋_GB2312"/>
          <w:sz w:val="30"/>
          <w:szCs w:val="30"/>
          <w:lang w:val="en-US" w:eastAsia="zh-CN"/>
        </w:rPr>
        <w:t>0</w:t>
      </w:r>
      <w:r>
        <w:rPr>
          <w:rFonts w:hint="eastAsia" w:ascii="仿宋_GB2312" w:eastAsia="仿宋_GB2312"/>
          <w:sz w:val="30"/>
          <w:szCs w:val="30"/>
        </w:rPr>
        <w:t>%；公务用车购置及运行费支出决算增加</w:t>
      </w:r>
      <w:r>
        <w:rPr>
          <w:rFonts w:hint="eastAsia" w:ascii="仿宋_GB2312" w:eastAsia="仿宋_GB2312"/>
          <w:sz w:val="30"/>
          <w:szCs w:val="30"/>
          <w:lang w:val="en-US" w:eastAsia="zh-CN"/>
        </w:rPr>
        <w:t>0</w:t>
      </w:r>
      <w:r>
        <w:rPr>
          <w:rFonts w:hint="eastAsia" w:ascii="仿宋_GB2312" w:eastAsia="仿宋_GB2312"/>
          <w:sz w:val="30"/>
          <w:szCs w:val="30"/>
        </w:rPr>
        <w:t>万元，增长</w:t>
      </w:r>
      <w:r>
        <w:rPr>
          <w:rFonts w:hint="eastAsia" w:ascii="仿宋_GB2312" w:eastAsia="仿宋_GB2312"/>
          <w:sz w:val="30"/>
          <w:szCs w:val="30"/>
          <w:lang w:val="en-US" w:eastAsia="zh-CN"/>
        </w:rPr>
        <w:t>0</w:t>
      </w:r>
      <w:r>
        <w:rPr>
          <w:rFonts w:hint="eastAsia" w:ascii="仿宋_GB2312" w:eastAsia="仿宋_GB2312"/>
          <w:sz w:val="30"/>
          <w:szCs w:val="30"/>
        </w:rPr>
        <w:t>%；公务接待费支出决算增加</w:t>
      </w:r>
      <w:r>
        <w:rPr>
          <w:rFonts w:hint="eastAsia" w:ascii="仿宋_GB2312" w:eastAsia="仿宋_GB2312"/>
          <w:sz w:val="30"/>
          <w:szCs w:val="30"/>
          <w:lang w:val="en-US" w:eastAsia="zh-CN"/>
        </w:rPr>
        <w:t>0</w:t>
      </w:r>
      <w:r>
        <w:rPr>
          <w:rFonts w:hint="eastAsia" w:ascii="仿宋_GB2312" w:eastAsia="仿宋_GB2312"/>
          <w:sz w:val="30"/>
          <w:szCs w:val="30"/>
        </w:rPr>
        <w:t>万元，增长</w:t>
      </w:r>
      <w:r>
        <w:rPr>
          <w:rFonts w:hint="eastAsia" w:ascii="仿宋_GB2312" w:eastAsia="仿宋_GB2312"/>
          <w:sz w:val="30"/>
          <w:szCs w:val="30"/>
          <w:lang w:val="en-US" w:eastAsia="zh-CN"/>
        </w:rPr>
        <w:t>0</w:t>
      </w:r>
      <w:r>
        <w:rPr>
          <w:rFonts w:hint="eastAsia" w:ascii="仿宋_GB2312" w:eastAsia="仿宋_GB2312"/>
          <w:sz w:val="30"/>
          <w:szCs w:val="30"/>
        </w:rPr>
        <w:t>%。</w:t>
      </w:r>
      <w:r>
        <w:rPr>
          <w:rFonts w:hint="eastAsia" w:ascii="仿宋_GB2312" w:eastAsia="仿宋_GB2312"/>
          <w:sz w:val="30"/>
          <w:szCs w:val="30"/>
          <w:lang w:val="en-US" w:eastAsia="zh-CN"/>
        </w:rPr>
        <w:t>2019</w:t>
      </w:r>
      <w:r>
        <w:rPr>
          <w:rFonts w:hint="eastAsia" w:ascii="仿宋_GB2312" w:eastAsia="仿宋_GB2312"/>
          <w:sz w:val="30"/>
          <w:szCs w:val="30"/>
        </w:rPr>
        <w:t>年度一般公共预算财政拨款“三公”经费支出决算</w:t>
      </w:r>
      <w:r>
        <w:rPr>
          <w:rFonts w:hint="eastAsia" w:ascii="仿宋_GB2312" w:eastAsia="仿宋_GB2312"/>
          <w:sz w:val="30"/>
          <w:szCs w:val="30"/>
          <w:lang w:eastAsia="zh-CN"/>
        </w:rPr>
        <w:t>无</w:t>
      </w:r>
      <w:r>
        <w:rPr>
          <w:rFonts w:hint="eastAsia" w:ascii="仿宋_GB2312" w:eastAsia="仿宋_GB2312"/>
          <w:sz w:val="30"/>
          <w:szCs w:val="30"/>
        </w:rPr>
        <w:t>增加</w:t>
      </w:r>
      <w:r>
        <w:rPr>
          <w:rFonts w:hint="eastAsia" w:ascii="仿宋_GB2312" w:eastAsia="仿宋_GB2312"/>
          <w:sz w:val="30"/>
          <w:szCs w:val="30"/>
          <w:lang w:eastAsia="zh-CN"/>
        </w:rPr>
        <w:t>情况</w:t>
      </w:r>
      <w:r>
        <w:rPr>
          <w:rFonts w:hint="eastAsia" w:ascii="仿宋_GB2312" w:eastAsia="仿宋_GB2312"/>
          <w:sz w:val="30"/>
          <w:szCs w:val="30"/>
        </w:rPr>
        <w:t>。</w:t>
      </w:r>
    </w:p>
    <w:p>
      <w:pPr>
        <w:widowControl/>
        <w:snapToGrid w:val="0"/>
        <w:spacing w:before="100" w:after="100" w:line="360" w:lineRule="auto"/>
        <w:ind w:firstLine="600" w:firstLineChars="200"/>
        <w:jc w:val="left"/>
        <w:rPr>
          <w:rFonts w:hint="eastAsia" w:ascii="楷体" w:hAnsi="楷体" w:eastAsia="楷体"/>
          <w:sz w:val="30"/>
          <w:szCs w:val="30"/>
        </w:rPr>
      </w:pPr>
      <w:r>
        <w:rPr>
          <w:rFonts w:hint="eastAsia" w:ascii="楷体" w:hAnsi="楷体" w:eastAsia="楷体"/>
          <w:sz w:val="30"/>
          <w:szCs w:val="30"/>
        </w:rPr>
        <w:t>(二)</w:t>
      </w:r>
      <w:r>
        <w:rPr>
          <w:rFonts w:hint="eastAsia" w:ascii="仿宋_GB2312" w:eastAsia="仿宋_GB2312"/>
          <w:sz w:val="30"/>
          <w:szCs w:val="30"/>
        </w:rPr>
        <w:t xml:space="preserve"> </w:t>
      </w:r>
      <w:r>
        <w:rPr>
          <w:rFonts w:hint="eastAsia" w:ascii="楷体" w:hAnsi="楷体" w:eastAsia="楷体"/>
          <w:sz w:val="30"/>
          <w:szCs w:val="30"/>
        </w:rPr>
        <w:t>一般公共预算财政拨款“三公”经费支出决算具体情况</w:t>
      </w:r>
    </w:p>
    <w:p>
      <w:pPr>
        <w:widowControl/>
        <w:snapToGrid w:val="0"/>
        <w:spacing w:before="100" w:after="100" w:line="360" w:lineRule="auto"/>
        <w:ind w:firstLine="600" w:firstLineChars="200"/>
        <w:jc w:val="left"/>
        <w:rPr>
          <w:rFonts w:hint="eastAsia" w:ascii="仿宋_GB2312" w:eastAsia="仿宋_GB2312"/>
          <w:sz w:val="30"/>
          <w:szCs w:val="30"/>
        </w:rPr>
      </w:pPr>
      <w:r>
        <w:rPr>
          <w:rFonts w:hint="eastAsia" w:ascii="仿宋_GB2312" w:eastAsia="仿宋_GB2312"/>
          <w:sz w:val="30"/>
          <w:szCs w:val="30"/>
          <w:lang w:val="en-US" w:eastAsia="zh-CN"/>
        </w:rPr>
        <w:t>2019</w:t>
      </w:r>
      <w:r>
        <w:rPr>
          <w:rFonts w:hint="eastAsia" w:ascii="仿宋_GB2312" w:eastAsia="仿宋_GB2312"/>
          <w:sz w:val="30"/>
          <w:szCs w:val="30"/>
        </w:rPr>
        <w:t>年度一般公共预算财政拨款“三公”经费支出决算中，因公出国（境）费支出</w:t>
      </w:r>
      <w:r>
        <w:rPr>
          <w:rFonts w:hint="eastAsia" w:ascii="仿宋_GB2312" w:eastAsia="仿宋_GB2312"/>
          <w:sz w:val="30"/>
          <w:szCs w:val="30"/>
          <w:lang w:val="en-US" w:eastAsia="zh-CN"/>
        </w:rPr>
        <w:t>0</w:t>
      </w:r>
      <w:r>
        <w:rPr>
          <w:rFonts w:hint="eastAsia" w:ascii="仿宋_GB2312" w:eastAsia="仿宋_GB2312"/>
          <w:sz w:val="30"/>
          <w:szCs w:val="30"/>
        </w:rPr>
        <w:t>万元，占</w:t>
      </w:r>
      <w:r>
        <w:rPr>
          <w:rFonts w:hint="eastAsia" w:ascii="仿宋_GB2312" w:eastAsia="仿宋_GB2312"/>
          <w:sz w:val="30"/>
          <w:szCs w:val="30"/>
          <w:lang w:val="en-US" w:eastAsia="zh-CN"/>
        </w:rPr>
        <w:t>0</w:t>
      </w:r>
      <w:r>
        <w:rPr>
          <w:rFonts w:hint="eastAsia" w:ascii="仿宋_GB2312" w:eastAsia="仿宋_GB2312"/>
          <w:sz w:val="30"/>
          <w:szCs w:val="30"/>
        </w:rPr>
        <w:t>%；公务用车购置及运行维护费支出</w:t>
      </w:r>
      <w:r>
        <w:rPr>
          <w:rFonts w:hint="eastAsia" w:ascii="仿宋_GB2312" w:eastAsia="仿宋_GB2312"/>
          <w:sz w:val="30"/>
          <w:szCs w:val="30"/>
          <w:lang w:val="en-US" w:eastAsia="zh-CN"/>
        </w:rPr>
        <w:t>1.5</w:t>
      </w:r>
      <w:r>
        <w:rPr>
          <w:rFonts w:hint="eastAsia" w:ascii="仿宋_GB2312" w:eastAsia="仿宋_GB2312"/>
          <w:sz w:val="30"/>
          <w:szCs w:val="30"/>
        </w:rPr>
        <w:t>万元，占</w:t>
      </w:r>
      <w:r>
        <w:rPr>
          <w:rFonts w:hint="eastAsia" w:ascii="仿宋_GB2312" w:eastAsia="仿宋_GB2312"/>
          <w:sz w:val="30"/>
          <w:szCs w:val="30"/>
          <w:lang w:val="en-US" w:eastAsia="zh-CN"/>
        </w:rPr>
        <w:t>86</w:t>
      </w:r>
      <w:r>
        <w:rPr>
          <w:rFonts w:hint="eastAsia" w:ascii="仿宋_GB2312" w:eastAsia="仿宋_GB2312"/>
          <w:sz w:val="30"/>
          <w:szCs w:val="30"/>
        </w:rPr>
        <w:t>%；公务接待费支出</w:t>
      </w:r>
      <w:r>
        <w:rPr>
          <w:rFonts w:hint="eastAsia" w:ascii="仿宋_GB2312" w:eastAsia="仿宋_GB2312"/>
          <w:sz w:val="30"/>
          <w:szCs w:val="30"/>
          <w:lang w:val="en-US" w:eastAsia="zh-CN"/>
        </w:rPr>
        <w:t>0.24</w:t>
      </w:r>
      <w:r>
        <w:rPr>
          <w:rFonts w:hint="eastAsia" w:ascii="仿宋_GB2312" w:eastAsia="仿宋_GB2312"/>
          <w:sz w:val="30"/>
          <w:szCs w:val="30"/>
        </w:rPr>
        <w:t>万元，占</w:t>
      </w:r>
      <w:r>
        <w:rPr>
          <w:rFonts w:hint="eastAsia" w:ascii="仿宋_GB2312" w:eastAsia="仿宋_GB2312"/>
          <w:sz w:val="30"/>
          <w:szCs w:val="30"/>
          <w:lang w:val="en-US" w:eastAsia="zh-CN"/>
        </w:rPr>
        <w:t>14</w:t>
      </w:r>
      <w:r>
        <w:rPr>
          <w:rFonts w:hint="eastAsia" w:ascii="仿宋_GB2312" w:eastAsia="仿宋_GB2312"/>
          <w:sz w:val="30"/>
          <w:szCs w:val="30"/>
        </w:rPr>
        <w:t>%。具体情况如下：</w:t>
      </w:r>
    </w:p>
    <w:p>
      <w:pPr>
        <w:widowControl/>
        <w:numPr>
          <w:ilvl w:val="0"/>
          <w:numId w:val="1"/>
        </w:numPr>
        <w:snapToGrid w:val="0"/>
        <w:spacing w:before="100" w:after="100" w:line="360" w:lineRule="auto"/>
        <w:ind w:firstLine="602" w:firstLineChars="200"/>
        <w:jc w:val="left"/>
        <w:rPr>
          <w:rFonts w:hint="eastAsia" w:ascii="仿宋_GB2312" w:eastAsia="仿宋_GB2312"/>
          <w:sz w:val="30"/>
          <w:szCs w:val="30"/>
        </w:rPr>
      </w:pPr>
      <w:r>
        <w:rPr>
          <w:rFonts w:hint="eastAsia" w:ascii="仿宋_GB2312" w:eastAsia="仿宋_GB2312"/>
          <w:b/>
          <w:sz w:val="30"/>
          <w:szCs w:val="30"/>
        </w:rPr>
        <w:t>因公出国（境）费</w:t>
      </w:r>
      <w:r>
        <w:rPr>
          <w:rFonts w:hint="eastAsia" w:ascii="仿宋_GB2312" w:eastAsia="仿宋_GB2312"/>
          <w:sz w:val="30"/>
          <w:szCs w:val="30"/>
        </w:rPr>
        <w:t>支出</w:t>
      </w:r>
      <w:r>
        <w:rPr>
          <w:rFonts w:hint="eastAsia" w:ascii="仿宋_GB2312" w:eastAsia="仿宋_GB2312"/>
          <w:sz w:val="30"/>
          <w:szCs w:val="30"/>
          <w:lang w:val="en-US" w:eastAsia="zh-CN"/>
        </w:rPr>
        <w:t>0</w:t>
      </w:r>
      <w:r>
        <w:rPr>
          <w:rFonts w:hint="eastAsia" w:ascii="仿宋_GB2312" w:eastAsia="仿宋_GB2312"/>
          <w:sz w:val="30"/>
          <w:szCs w:val="30"/>
        </w:rPr>
        <w:t>万元，共安排因公出国（境）团组</w:t>
      </w:r>
      <w:r>
        <w:rPr>
          <w:rFonts w:hint="eastAsia" w:ascii="仿宋_GB2312" w:eastAsia="仿宋_GB2312"/>
          <w:sz w:val="30"/>
          <w:szCs w:val="30"/>
          <w:lang w:val="en-US" w:eastAsia="zh-CN"/>
        </w:rPr>
        <w:t>0</w:t>
      </w:r>
      <w:r>
        <w:rPr>
          <w:rFonts w:hint="eastAsia" w:ascii="仿宋_GB2312" w:eastAsia="仿宋_GB2312"/>
          <w:sz w:val="30"/>
          <w:szCs w:val="30"/>
        </w:rPr>
        <w:t>个，累计</w:t>
      </w:r>
      <w:r>
        <w:rPr>
          <w:rFonts w:hint="eastAsia" w:ascii="仿宋_GB2312" w:eastAsia="仿宋_GB2312"/>
          <w:sz w:val="30"/>
          <w:szCs w:val="30"/>
          <w:lang w:val="en-US" w:eastAsia="zh-CN"/>
        </w:rPr>
        <w:t>0</w:t>
      </w:r>
      <w:r>
        <w:rPr>
          <w:rFonts w:hint="eastAsia" w:ascii="仿宋_GB2312" w:eastAsia="仿宋_GB2312"/>
          <w:sz w:val="30"/>
          <w:szCs w:val="30"/>
        </w:rPr>
        <w:t>人次。</w:t>
      </w:r>
    </w:p>
    <w:p>
      <w:pPr>
        <w:widowControl/>
        <w:numPr>
          <w:ilvl w:val="0"/>
          <w:numId w:val="0"/>
        </w:numPr>
        <w:snapToGrid w:val="0"/>
        <w:spacing w:before="100" w:after="100" w:line="360" w:lineRule="auto"/>
        <w:ind w:firstLine="602" w:firstLineChars="200"/>
        <w:jc w:val="left"/>
        <w:rPr>
          <w:rFonts w:hint="eastAsia" w:ascii="仿宋_GB2312" w:eastAsia="仿宋_GB2312"/>
          <w:sz w:val="30"/>
          <w:szCs w:val="30"/>
        </w:rPr>
      </w:pPr>
      <w:r>
        <w:rPr>
          <w:rFonts w:hint="eastAsia" w:ascii="仿宋_GB2312" w:eastAsia="仿宋_GB2312"/>
          <w:b/>
          <w:sz w:val="30"/>
          <w:szCs w:val="30"/>
        </w:rPr>
        <w:t>2. 公务用车购置及运行维护费</w:t>
      </w:r>
      <w:r>
        <w:rPr>
          <w:rFonts w:hint="eastAsia" w:ascii="仿宋_GB2312" w:eastAsia="仿宋_GB2312"/>
          <w:sz w:val="30"/>
          <w:szCs w:val="30"/>
        </w:rPr>
        <w:t>支出</w:t>
      </w:r>
      <w:r>
        <w:rPr>
          <w:rFonts w:hint="eastAsia" w:ascii="仿宋_GB2312" w:eastAsia="仿宋_GB2312"/>
          <w:sz w:val="30"/>
          <w:szCs w:val="30"/>
          <w:lang w:val="en-US" w:eastAsia="zh-CN"/>
        </w:rPr>
        <w:t>1.5</w:t>
      </w:r>
      <w:r>
        <w:rPr>
          <w:rFonts w:hint="eastAsia" w:ascii="仿宋_GB2312" w:eastAsia="仿宋_GB2312"/>
          <w:sz w:val="30"/>
          <w:szCs w:val="30"/>
        </w:rPr>
        <w:t>万元。其中：</w:t>
      </w:r>
    </w:p>
    <w:p>
      <w:pPr>
        <w:widowControl/>
        <w:snapToGrid w:val="0"/>
        <w:spacing w:before="100" w:after="100" w:line="360" w:lineRule="auto"/>
        <w:ind w:firstLine="602" w:firstLineChars="200"/>
        <w:jc w:val="left"/>
        <w:rPr>
          <w:rFonts w:hint="eastAsia" w:ascii="仿宋_GB2312" w:eastAsia="仿宋_GB2312"/>
          <w:sz w:val="30"/>
          <w:szCs w:val="30"/>
        </w:rPr>
      </w:pPr>
      <w:r>
        <w:rPr>
          <w:rFonts w:hint="eastAsia" w:ascii="仿宋_GB2312" w:eastAsia="仿宋_GB2312"/>
          <w:b/>
          <w:sz w:val="30"/>
          <w:szCs w:val="30"/>
        </w:rPr>
        <w:t>公务用车购置</w:t>
      </w:r>
      <w:r>
        <w:rPr>
          <w:rFonts w:hint="eastAsia" w:ascii="仿宋_GB2312" w:eastAsia="仿宋_GB2312"/>
          <w:sz w:val="30"/>
          <w:szCs w:val="30"/>
        </w:rPr>
        <w:t>支出</w:t>
      </w:r>
      <w:r>
        <w:rPr>
          <w:rFonts w:hint="eastAsia" w:ascii="仿宋_GB2312" w:eastAsia="仿宋_GB2312"/>
          <w:sz w:val="30"/>
          <w:szCs w:val="30"/>
          <w:lang w:val="en-US" w:eastAsia="zh-CN"/>
        </w:rPr>
        <w:t>0</w:t>
      </w:r>
      <w:r>
        <w:rPr>
          <w:rFonts w:hint="eastAsia" w:ascii="仿宋_GB2312" w:eastAsia="仿宋_GB2312"/>
          <w:sz w:val="30"/>
          <w:szCs w:val="30"/>
        </w:rPr>
        <w:t>万元，购置车辆</w:t>
      </w:r>
      <w:r>
        <w:rPr>
          <w:rFonts w:hint="eastAsia" w:ascii="仿宋_GB2312" w:eastAsia="仿宋_GB2312"/>
          <w:sz w:val="30"/>
          <w:szCs w:val="30"/>
          <w:lang w:val="en-US" w:eastAsia="zh-CN"/>
        </w:rPr>
        <w:t>0</w:t>
      </w:r>
      <w:r>
        <w:rPr>
          <w:rFonts w:hint="eastAsia" w:ascii="仿宋_GB2312" w:eastAsia="仿宋_GB2312"/>
          <w:sz w:val="30"/>
          <w:szCs w:val="30"/>
        </w:rPr>
        <w:t>辆。</w:t>
      </w:r>
    </w:p>
    <w:p>
      <w:pPr>
        <w:widowControl/>
        <w:snapToGrid w:val="0"/>
        <w:spacing w:before="100" w:after="100" w:line="360" w:lineRule="auto"/>
        <w:ind w:firstLine="602" w:firstLineChars="200"/>
        <w:jc w:val="left"/>
        <w:rPr>
          <w:rFonts w:hint="eastAsia" w:ascii="仿宋_GB2312" w:eastAsia="仿宋_GB2312"/>
          <w:sz w:val="30"/>
          <w:szCs w:val="30"/>
        </w:rPr>
      </w:pPr>
      <w:r>
        <w:rPr>
          <w:rFonts w:hint="eastAsia" w:ascii="仿宋_GB2312" w:eastAsia="仿宋_GB2312"/>
          <w:b/>
          <w:sz w:val="30"/>
          <w:szCs w:val="30"/>
        </w:rPr>
        <w:t>公务用车运行维护</w:t>
      </w:r>
      <w:r>
        <w:rPr>
          <w:rFonts w:hint="eastAsia" w:ascii="仿宋_GB2312" w:eastAsia="仿宋_GB2312"/>
          <w:sz w:val="30"/>
          <w:szCs w:val="30"/>
        </w:rPr>
        <w:t>支出</w:t>
      </w:r>
      <w:r>
        <w:rPr>
          <w:rFonts w:hint="eastAsia" w:ascii="仿宋_GB2312" w:eastAsia="仿宋_GB2312"/>
          <w:sz w:val="30"/>
          <w:szCs w:val="30"/>
          <w:lang w:val="en-US" w:eastAsia="zh-CN"/>
        </w:rPr>
        <w:t>1.5</w:t>
      </w:r>
      <w:r>
        <w:rPr>
          <w:rFonts w:hint="eastAsia" w:ascii="仿宋_GB2312" w:eastAsia="仿宋_GB2312"/>
          <w:sz w:val="30"/>
          <w:szCs w:val="30"/>
        </w:rPr>
        <w:t>万元，开支一般公共预算财政拨款的公务用车保有量为</w:t>
      </w:r>
      <w:r>
        <w:rPr>
          <w:rFonts w:hint="eastAsia" w:ascii="仿宋_GB2312" w:eastAsia="仿宋_GB2312"/>
          <w:sz w:val="30"/>
          <w:szCs w:val="30"/>
          <w:lang w:val="en-US" w:eastAsia="zh-CN"/>
        </w:rPr>
        <w:t>1</w:t>
      </w:r>
      <w:r>
        <w:rPr>
          <w:rFonts w:hint="eastAsia" w:ascii="仿宋_GB2312" w:eastAsia="仿宋_GB2312"/>
          <w:sz w:val="30"/>
          <w:szCs w:val="30"/>
        </w:rPr>
        <w:t>辆。主要用于</w:t>
      </w:r>
      <w:r>
        <w:rPr>
          <w:rFonts w:hint="eastAsia" w:ascii="仿宋_GB2312" w:eastAsia="仿宋_GB2312"/>
          <w:sz w:val="30"/>
          <w:szCs w:val="30"/>
          <w:lang w:eastAsia="zh-CN"/>
        </w:rPr>
        <w:t>中心人员下乡及出差</w:t>
      </w:r>
      <w:r>
        <w:rPr>
          <w:rFonts w:hint="eastAsia" w:ascii="仿宋_GB2312" w:eastAsia="仿宋_GB2312"/>
          <w:sz w:val="30"/>
          <w:szCs w:val="30"/>
        </w:rPr>
        <w:t>所需车辆燃料费、维修费、过路过桥费、保险费等。</w:t>
      </w:r>
    </w:p>
    <w:p>
      <w:pPr>
        <w:widowControl/>
        <w:snapToGrid w:val="0"/>
        <w:spacing w:before="100" w:after="100" w:line="360" w:lineRule="auto"/>
        <w:ind w:firstLine="602" w:firstLineChars="200"/>
        <w:jc w:val="left"/>
        <w:rPr>
          <w:rFonts w:hint="eastAsia" w:ascii="仿宋_GB2312" w:eastAsia="仿宋_GB2312"/>
          <w:sz w:val="30"/>
          <w:szCs w:val="30"/>
        </w:rPr>
      </w:pPr>
      <w:r>
        <w:rPr>
          <w:rFonts w:hint="eastAsia" w:ascii="仿宋_GB2312" w:eastAsia="仿宋_GB2312"/>
          <w:b/>
          <w:sz w:val="30"/>
          <w:szCs w:val="30"/>
        </w:rPr>
        <w:t>3.公务接待费</w:t>
      </w:r>
      <w:r>
        <w:rPr>
          <w:rFonts w:hint="eastAsia" w:ascii="仿宋_GB2312" w:eastAsia="仿宋_GB2312"/>
          <w:sz w:val="30"/>
          <w:szCs w:val="30"/>
        </w:rPr>
        <w:t>支出</w:t>
      </w:r>
      <w:r>
        <w:rPr>
          <w:rFonts w:hint="eastAsia" w:ascii="仿宋_GB2312" w:eastAsia="仿宋_GB2312"/>
          <w:sz w:val="30"/>
          <w:szCs w:val="30"/>
          <w:lang w:val="en-US" w:eastAsia="zh-CN"/>
        </w:rPr>
        <w:t>0.24</w:t>
      </w:r>
      <w:r>
        <w:rPr>
          <w:rFonts w:hint="eastAsia" w:ascii="仿宋_GB2312" w:eastAsia="仿宋_GB2312"/>
          <w:sz w:val="30"/>
          <w:szCs w:val="30"/>
        </w:rPr>
        <w:t>万元。其中：</w:t>
      </w:r>
    </w:p>
    <w:p>
      <w:pPr>
        <w:widowControl/>
        <w:snapToGrid w:val="0"/>
        <w:spacing w:before="100" w:after="100" w:line="360" w:lineRule="auto"/>
        <w:ind w:firstLine="602" w:firstLineChars="200"/>
        <w:jc w:val="left"/>
        <w:rPr>
          <w:rFonts w:hint="eastAsia" w:ascii="仿宋_GB2312" w:eastAsia="仿宋_GB2312"/>
          <w:sz w:val="30"/>
          <w:szCs w:val="30"/>
          <w:lang w:eastAsia="zh-CN"/>
        </w:rPr>
      </w:pPr>
      <w:r>
        <w:rPr>
          <w:rFonts w:hint="eastAsia" w:ascii="仿宋_GB2312" w:eastAsia="仿宋_GB2312"/>
          <w:b/>
          <w:sz w:val="30"/>
          <w:szCs w:val="30"/>
        </w:rPr>
        <w:t>国内接待费</w:t>
      </w:r>
      <w:r>
        <w:rPr>
          <w:rFonts w:hint="eastAsia" w:ascii="仿宋_GB2312" w:eastAsia="仿宋_GB2312"/>
          <w:sz w:val="30"/>
          <w:szCs w:val="30"/>
        </w:rPr>
        <w:t>支出</w:t>
      </w:r>
      <w:r>
        <w:rPr>
          <w:rFonts w:hint="eastAsia" w:ascii="仿宋_GB2312" w:eastAsia="仿宋_GB2312"/>
          <w:sz w:val="30"/>
          <w:szCs w:val="30"/>
          <w:lang w:val="en-US" w:eastAsia="zh-CN"/>
        </w:rPr>
        <w:t>0.24</w:t>
      </w:r>
      <w:r>
        <w:rPr>
          <w:rFonts w:hint="eastAsia" w:ascii="仿宋_GB2312" w:eastAsia="仿宋_GB2312"/>
          <w:sz w:val="30"/>
          <w:szCs w:val="30"/>
        </w:rPr>
        <w:t>万元（其中：外事接待费支出</w:t>
      </w:r>
      <w:r>
        <w:rPr>
          <w:rFonts w:hint="eastAsia" w:ascii="仿宋_GB2312" w:eastAsia="仿宋_GB2312"/>
          <w:sz w:val="30"/>
          <w:szCs w:val="30"/>
          <w:lang w:val="en-US" w:eastAsia="zh-CN"/>
        </w:rPr>
        <w:t>0</w:t>
      </w:r>
      <w:r>
        <w:rPr>
          <w:rFonts w:hint="eastAsia" w:ascii="仿宋_GB2312" w:eastAsia="仿宋_GB2312"/>
          <w:sz w:val="30"/>
          <w:szCs w:val="30"/>
        </w:rPr>
        <w:t>万元），共安排国内公务接待</w:t>
      </w:r>
      <w:r>
        <w:rPr>
          <w:rFonts w:hint="eastAsia" w:ascii="仿宋_GB2312" w:eastAsia="仿宋_GB2312"/>
          <w:sz w:val="30"/>
          <w:szCs w:val="30"/>
          <w:lang w:val="en-US" w:eastAsia="zh-CN"/>
        </w:rPr>
        <w:t>6</w:t>
      </w:r>
      <w:r>
        <w:rPr>
          <w:rFonts w:hint="eastAsia" w:ascii="仿宋_GB2312" w:eastAsia="仿宋_GB2312"/>
          <w:sz w:val="30"/>
          <w:szCs w:val="30"/>
        </w:rPr>
        <w:t>批次（其中：外事接待</w:t>
      </w:r>
      <w:r>
        <w:rPr>
          <w:rFonts w:hint="eastAsia" w:ascii="仿宋_GB2312" w:eastAsia="仿宋_GB2312"/>
          <w:sz w:val="30"/>
          <w:szCs w:val="30"/>
          <w:lang w:val="en-US" w:eastAsia="zh-CN"/>
        </w:rPr>
        <w:t>0</w:t>
      </w:r>
      <w:r>
        <w:rPr>
          <w:rFonts w:hint="eastAsia" w:ascii="仿宋_GB2312" w:eastAsia="仿宋_GB2312"/>
          <w:sz w:val="30"/>
          <w:szCs w:val="30"/>
        </w:rPr>
        <w:t>批次），接待人次</w:t>
      </w:r>
      <w:r>
        <w:rPr>
          <w:rFonts w:hint="eastAsia" w:ascii="仿宋_GB2312" w:eastAsia="仿宋_GB2312"/>
          <w:sz w:val="30"/>
          <w:szCs w:val="30"/>
          <w:lang w:val="en-US" w:eastAsia="zh-CN"/>
        </w:rPr>
        <w:t>23</w:t>
      </w:r>
      <w:r>
        <w:rPr>
          <w:rFonts w:hint="eastAsia" w:ascii="仿宋_GB2312" w:eastAsia="仿宋_GB2312"/>
          <w:sz w:val="30"/>
          <w:szCs w:val="30"/>
        </w:rPr>
        <w:t>人（其中：外事接待人次</w:t>
      </w:r>
      <w:r>
        <w:rPr>
          <w:rFonts w:hint="eastAsia" w:ascii="仿宋_GB2312" w:eastAsia="仿宋_GB2312"/>
          <w:sz w:val="30"/>
          <w:szCs w:val="30"/>
          <w:lang w:val="en-US" w:eastAsia="zh-CN"/>
        </w:rPr>
        <w:t>0</w:t>
      </w:r>
      <w:r>
        <w:rPr>
          <w:rFonts w:hint="eastAsia" w:ascii="仿宋_GB2312" w:eastAsia="仿宋_GB2312"/>
          <w:sz w:val="30"/>
          <w:szCs w:val="30"/>
        </w:rPr>
        <w:t>人）。主要用于</w:t>
      </w:r>
      <w:r>
        <w:rPr>
          <w:rFonts w:hint="eastAsia" w:ascii="仿宋_GB2312" w:eastAsia="仿宋_GB2312"/>
          <w:sz w:val="30"/>
          <w:szCs w:val="30"/>
          <w:lang w:eastAsia="zh-CN"/>
        </w:rPr>
        <w:t>接待省中心领导视察工作及</w:t>
      </w:r>
      <w:r>
        <w:rPr>
          <w:rFonts w:hint="eastAsia" w:ascii="仿宋_GB2312" w:hAnsi="仿宋_GB2312" w:eastAsia="仿宋_GB2312" w:cs="仿宋_GB2312"/>
          <w:i w:val="0"/>
          <w:caps w:val="0"/>
          <w:color w:val="000000"/>
          <w:spacing w:val="0"/>
          <w:sz w:val="30"/>
          <w:szCs w:val="30"/>
          <w:shd w:val="clear" w:color="auto" w:fill="FFFFFF"/>
        </w:rPr>
        <w:t>中福彩中心《福彩演播室》摄制组</w:t>
      </w:r>
      <w:r>
        <w:rPr>
          <w:rFonts w:hint="eastAsia" w:ascii="仿宋_GB2312" w:hAnsi="仿宋_GB2312" w:eastAsia="仿宋_GB2312" w:cs="仿宋_GB2312"/>
          <w:i w:val="0"/>
          <w:caps w:val="0"/>
          <w:color w:val="000000"/>
          <w:spacing w:val="0"/>
          <w:sz w:val="30"/>
          <w:szCs w:val="30"/>
          <w:shd w:val="clear" w:color="auto" w:fill="FFFFFF"/>
          <w:lang w:eastAsia="zh-CN"/>
        </w:rPr>
        <w:t>人员。</w:t>
      </w:r>
    </w:p>
    <w:p>
      <w:pPr>
        <w:widowControl/>
        <w:snapToGrid w:val="0"/>
        <w:spacing w:before="100" w:after="100" w:line="360" w:lineRule="auto"/>
        <w:ind w:firstLine="602" w:firstLineChars="200"/>
        <w:jc w:val="left"/>
        <w:rPr>
          <w:rFonts w:hint="eastAsia" w:ascii="仿宋_GB2312" w:eastAsia="仿宋_GB2312"/>
          <w:sz w:val="30"/>
          <w:szCs w:val="30"/>
        </w:rPr>
      </w:pPr>
      <w:r>
        <w:rPr>
          <w:rFonts w:hint="eastAsia" w:ascii="仿宋_GB2312" w:eastAsia="仿宋_GB2312"/>
          <w:b/>
          <w:sz w:val="30"/>
          <w:szCs w:val="30"/>
        </w:rPr>
        <w:t>国（境）外接待费</w:t>
      </w:r>
      <w:r>
        <w:rPr>
          <w:rFonts w:hint="eastAsia" w:ascii="仿宋_GB2312" w:eastAsia="仿宋_GB2312"/>
          <w:sz w:val="30"/>
          <w:szCs w:val="30"/>
        </w:rPr>
        <w:t>支出</w:t>
      </w:r>
      <w:r>
        <w:rPr>
          <w:rFonts w:hint="eastAsia" w:ascii="仿宋_GB2312" w:eastAsia="仿宋_GB2312"/>
          <w:sz w:val="30"/>
          <w:szCs w:val="30"/>
          <w:lang w:val="en-US" w:eastAsia="zh-CN"/>
        </w:rPr>
        <w:t>0</w:t>
      </w:r>
      <w:r>
        <w:rPr>
          <w:rFonts w:hint="eastAsia" w:ascii="仿宋_GB2312" w:eastAsia="仿宋_GB2312"/>
          <w:sz w:val="30"/>
          <w:szCs w:val="30"/>
        </w:rPr>
        <w:t>万元，共安排国（境）外公务接待</w:t>
      </w:r>
      <w:r>
        <w:rPr>
          <w:rFonts w:hint="eastAsia" w:ascii="仿宋_GB2312" w:eastAsia="仿宋_GB2312"/>
          <w:sz w:val="30"/>
          <w:szCs w:val="30"/>
          <w:lang w:val="en-US" w:eastAsia="zh-CN"/>
        </w:rPr>
        <w:t>0</w:t>
      </w:r>
      <w:r>
        <w:rPr>
          <w:rFonts w:hint="eastAsia" w:ascii="仿宋_GB2312" w:eastAsia="仿宋_GB2312"/>
          <w:sz w:val="30"/>
          <w:szCs w:val="30"/>
        </w:rPr>
        <w:t>批次，接待人次</w:t>
      </w:r>
      <w:r>
        <w:rPr>
          <w:rFonts w:hint="eastAsia" w:ascii="仿宋_GB2312" w:eastAsia="仿宋_GB2312"/>
          <w:sz w:val="30"/>
          <w:szCs w:val="30"/>
          <w:lang w:val="en-US" w:eastAsia="zh-CN"/>
        </w:rPr>
        <w:t>0</w:t>
      </w:r>
      <w:r>
        <w:rPr>
          <w:rFonts w:hint="eastAsia" w:ascii="仿宋_GB2312" w:eastAsia="仿宋_GB2312"/>
          <w:sz w:val="30"/>
          <w:szCs w:val="30"/>
        </w:rPr>
        <w:t>人。</w:t>
      </w:r>
    </w:p>
    <w:p>
      <w:pPr>
        <w:widowControl/>
        <w:snapToGrid w:val="0"/>
        <w:spacing w:before="100" w:after="100" w:line="360" w:lineRule="auto"/>
        <w:ind w:firstLine="640" w:firstLineChars="200"/>
        <w:jc w:val="left"/>
        <w:rPr>
          <w:rFonts w:hint="eastAsia" w:ascii="仿宋_GB2312" w:eastAsia="仿宋_GB2312"/>
          <w:sz w:val="32"/>
          <w:szCs w:val="32"/>
        </w:rPr>
      </w:pPr>
      <w:r>
        <w:rPr>
          <w:rFonts w:hint="eastAsia" w:ascii="黑体" w:hAnsi="黑体" w:eastAsia="黑体" w:cs="方正小标宋简体"/>
          <w:sz w:val="32"/>
          <w:szCs w:val="32"/>
        </w:rPr>
        <w:t xml:space="preserve">第四部分  </w:t>
      </w:r>
      <w:r>
        <w:rPr>
          <w:rFonts w:hint="eastAsia" w:ascii="黑体" w:hAnsi="黑体" w:eastAsia="黑体"/>
          <w:sz w:val="32"/>
          <w:szCs w:val="32"/>
        </w:rPr>
        <w:t>其他重要事项及相关口径情况说明</w:t>
      </w:r>
    </w:p>
    <w:p>
      <w:pPr>
        <w:ind w:firstLine="600" w:firstLineChars="200"/>
        <w:jc w:val="left"/>
        <w:rPr>
          <w:rFonts w:hint="eastAsia" w:ascii="黑体" w:hAnsi="黑体" w:eastAsia="黑体" w:cs="黑体"/>
          <w:sz w:val="30"/>
          <w:szCs w:val="30"/>
        </w:rPr>
      </w:pPr>
      <w:r>
        <w:rPr>
          <w:rFonts w:hint="eastAsia" w:ascii="黑体" w:hAnsi="黑体" w:eastAsia="黑体" w:cs="黑体"/>
          <w:sz w:val="30"/>
          <w:szCs w:val="30"/>
        </w:rPr>
        <w:t>一</w:t>
      </w:r>
      <w:r>
        <w:rPr>
          <w:rFonts w:hint="eastAsia" w:ascii="黑体" w:hAnsi="黑体" w:eastAsia="黑体" w:cs="黑体"/>
          <w:sz w:val="30"/>
          <w:szCs w:val="30"/>
          <w:lang w:eastAsia="zh-CN"/>
        </w:rPr>
        <w:t>、</w:t>
      </w:r>
      <w:r>
        <w:rPr>
          <w:rFonts w:hint="eastAsia" w:ascii="黑体" w:hAnsi="黑体" w:eastAsia="黑体" w:cs="黑体"/>
          <w:sz w:val="30"/>
          <w:szCs w:val="30"/>
        </w:rPr>
        <w:t>机关运行经费支出情况</w:t>
      </w:r>
    </w:p>
    <w:p>
      <w:pPr>
        <w:widowControl/>
        <w:snapToGrid w:val="0"/>
        <w:spacing w:before="100" w:after="100" w:line="360" w:lineRule="auto"/>
        <w:ind w:firstLine="600" w:firstLineChars="200"/>
        <w:jc w:val="left"/>
        <w:rPr>
          <w:rFonts w:hint="eastAsia" w:ascii="仿宋_GB2312" w:eastAsia="仿宋_GB2312"/>
          <w:sz w:val="30"/>
          <w:szCs w:val="30"/>
        </w:rPr>
      </w:pPr>
      <w:r>
        <w:rPr>
          <w:rFonts w:hint="eastAsia" w:ascii="仿宋_GB2312" w:eastAsia="仿宋_GB2312"/>
          <w:sz w:val="30"/>
          <w:szCs w:val="30"/>
          <w:lang w:eastAsia="zh-CN"/>
        </w:rPr>
        <w:t>迪庆州福利彩票管理中心</w:t>
      </w:r>
      <w:r>
        <w:rPr>
          <w:rFonts w:hint="eastAsia" w:ascii="仿宋_GB2312" w:eastAsia="仿宋_GB2312"/>
          <w:sz w:val="30"/>
          <w:szCs w:val="30"/>
          <w:lang w:val="en-US" w:eastAsia="zh-CN"/>
        </w:rPr>
        <w:t>2018年</w:t>
      </w:r>
      <w:r>
        <w:rPr>
          <w:rFonts w:hint="eastAsia" w:ascii="仿宋_GB2312" w:eastAsia="仿宋_GB2312"/>
          <w:sz w:val="30"/>
          <w:szCs w:val="30"/>
        </w:rPr>
        <w:t>机关运行经费支出</w:t>
      </w:r>
      <w:r>
        <w:rPr>
          <w:rFonts w:hint="eastAsia" w:ascii="仿宋_GB2312" w:eastAsia="仿宋_GB2312"/>
          <w:sz w:val="30"/>
          <w:szCs w:val="30"/>
          <w:lang w:val="en-US" w:eastAsia="zh-CN"/>
        </w:rPr>
        <w:t>0</w:t>
      </w:r>
      <w:r>
        <w:rPr>
          <w:rFonts w:hint="eastAsia" w:ascii="仿宋_GB2312" w:eastAsia="仿宋_GB2312"/>
          <w:sz w:val="30"/>
          <w:szCs w:val="30"/>
        </w:rPr>
        <w:t>万元，</w:t>
      </w:r>
      <w:r>
        <w:rPr>
          <w:rFonts w:hint="eastAsia" w:ascii="仿宋_GB2312" w:eastAsia="仿宋_GB2312"/>
          <w:sz w:val="30"/>
          <w:szCs w:val="30"/>
          <w:lang w:val="en-US" w:eastAsia="zh-CN"/>
        </w:rPr>
        <w:t>由于迪庆州福利彩票管理中心属于全额拨款事业单位故没有机关运行经费。</w:t>
      </w:r>
    </w:p>
    <w:p>
      <w:pPr>
        <w:widowControl/>
        <w:ind w:firstLine="600" w:firstLineChars="200"/>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lang w:eastAsia="zh-CN"/>
        </w:rPr>
        <w:t>二、</w:t>
      </w:r>
      <w:r>
        <w:rPr>
          <w:rFonts w:hint="eastAsia" w:ascii="黑体" w:hAnsi="黑体" w:eastAsia="黑体" w:cs="黑体"/>
          <w:color w:val="000000"/>
          <w:kern w:val="0"/>
          <w:sz w:val="30"/>
          <w:szCs w:val="30"/>
        </w:rPr>
        <w:t>国有资产占用情况</w:t>
      </w:r>
    </w:p>
    <w:p>
      <w:pPr>
        <w:widowControl/>
        <w:ind w:firstLine="600" w:firstLineChars="200"/>
        <w:rPr>
          <w:rFonts w:ascii="宋体" w:hAnsi="宋体" w:cs="宋体"/>
          <w:color w:val="000000"/>
          <w:kern w:val="0"/>
          <w:sz w:val="30"/>
          <w:szCs w:val="30"/>
        </w:rPr>
      </w:pPr>
      <w:r>
        <w:rPr>
          <w:rFonts w:hint="eastAsia" w:ascii="仿宋_GB2312" w:hAnsi="黑体" w:eastAsia="仿宋_GB2312" w:cs="方正小标宋简体"/>
          <w:color w:val="000000"/>
          <w:kern w:val="0"/>
          <w:sz w:val="30"/>
          <w:szCs w:val="30"/>
        </w:rPr>
        <w:t>截至</w:t>
      </w:r>
      <w:r>
        <w:rPr>
          <w:rFonts w:hint="eastAsia" w:ascii="仿宋_GB2312" w:hAnsi="黑体" w:eastAsia="仿宋_GB2312" w:cs="方正小标宋简体"/>
          <w:color w:val="000000"/>
          <w:kern w:val="0"/>
          <w:sz w:val="30"/>
          <w:szCs w:val="30"/>
          <w:lang w:val="en-US" w:eastAsia="zh-CN"/>
        </w:rPr>
        <w:t>2019</w:t>
      </w:r>
      <w:r>
        <w:rPr>
          <w:rFonts w:hint="eastAsia" w:ascii="仿宋_GB2312" w:hAnsi="黑体" w:eastAsia="仿宋_GB2312" w:cs="方正小标宋简体"/>
          <w:color w:val="000000"/>
          <w:kern w:val="0"/>
          <w:sz w:val="30"/>
          <w:szCs w:val="30"/>
        </w:rPr>
        <w:t>年</w:t>
      </w:r>
      <w:r>
        <w:rPr>
          <w:rFonts w:hint="eastAsia" w:ascii="仿宋_GB2312" w:hAnsi="黑体" w:eastAsia="仿宋_GB2312" w:cs="方正小标宋简体"/>
          <w:color w:val="000000"/>
          <w:kern w:val="0"/>
          <w:sz w:val="30"/>
          <w:szCs w:val="30"/>
          <w:lang w:val="en-US" w:eastAsia="zh-CN"/>
        </w:rPr>
        <w:t>12</w:t>
      </w:r>
      <w:r>
        <w:rPr>
          <w:rFonts w:hint="eastAsia" w:ascii="仿宋_GB2312" w:hAnsi="黑体" w:eastAsia="仿宋_GB2312" w:cs="方正小标宋简体"/>
          <w:color w:val="000000"/>
          <w:kern w:val="0"/>
          <w:sz w:val="30"/>
          <w:szCs w:val="30"/>
        </w:rPr>
        <w:t>月</w:t>
      </w:r>
      <w:r>
        <w:rPr>
          <w:rFonts w:hint="eastAsia" w:ascii="仿宋_GB2312" w:hAnsi="黑体" w:eastAsia="仿宋_GB2312" w:cs="方正小标宋简体"/>
          <w:color w:val="000000"/>
          <w:kern w:val="0"/>
          <w:sz w:val="30"/>
          <w:szCs w:val="30"/>
          <w:lang w:val="en-US" w:eastAsia="zh-CN"/>
        </w:rPr>
        <w:t>31</w:t>
      </w:r>
      <w:r>
        <w:rPr>
          <w:rFonts w:hint="eastAsia" w:ascii="仿宋_GB2312" w:hAnsi="黑体" w:eastAsia="仿宋_GB2312" w:cs="方正小标宋简体"/>
          <w:color w:val="000000"/>
          <w:kern w:val="0"/>
          <w:sz w:val="30"/>
          <w:szCs w:val="30"/>
        </w:rPr>
        <w:t>日，</w:t>
      </w:r>
      <w:r>
        <w:rPr>
          <w:rFonts w:hint="eastAsia" w:ascii="仿宋_GB2312" w:hAnsi="黑体" w:eastAsia="仿宋_GB2312" w:cs="方正小标宋简体"/>
          <w:color w:val="000000"/>
          <w:kern w:val="0"/>
          <w:sz w:val="30"/>
          <w:szCs w:val="30"/>
          <w:lang w:eastAsia="zh-CN"/>
        </w:rPr>
        <w:t>迪庆州福利彩票管理中心</w:t>
      </w:r>
      <w:r>
        <w:rPr>
          <w:rFonts w:hint="eastAsia" w:ascii="仿宋_GB2312" w:hAnsi="黑体" w:eastAsia="仿宋_GB2312" w:cs="方正小标宋简体"/>
          <w:color w:val="000000"/>
          <w:kern w:val="0"/>
          <w:sz w:val="30"/>
          <w:szCs w:val="30"/>
        </w:rPr>
        <w:t>资产总额</w:t>
      </w:r>
      <w:r>
        <w:rPr>
          <w:rFonts w:hint="eastAsia" w:ascii="仿宋_GB2312" w:hAnsi="黑体" w:eastAsia="仿宋_GB2312" w:cs="方正小标宋简体"/>
          <w:color w:val="000000"/>
          <w:kern w:val="0"/>
          <w:sz w:val="30"/>
          <w:szCs w:val="30"/>
          <w:lang w:val="en-US" w:eastAsia="zh-CN"/>
        </w:rPr>
        <w:t>905.30</w:t>
      </w:r>
      <w:r>
        <w:rPr>
          <w:rFonts w:hint="eastAsia" w:ascii="仿宋_GB2312" w:hAnsi="黑体" w:eastAsia="仿宋_GB2312" w:cs="方正小标宋简体"/>
          <w:color w:val="000000"/>
          <w:kern w:val="0"/>
          <w:sz w:val="30"/>
          <w:szCs w:val="30"/>
        </w:rPr>
        <w:t>万元，其中，流动资产</w:t>
      </w:r>
      <w:r>
        <w:rPr>
          <w:rFonts w:hint="eastAsia" w:ascii="仿宋_GB2312" w:hAnsi="黑体" w:eastAsia="仿宋_GB2312" w:cs="方正小标宋简体"/>
          <w:color w:val="000000"/>
          <w:kern w:val="0"/>
          <w:sz w:val="30"/>
          <w:szCs w:val="30"/>
          <w:lang w:val="en-US" w:eastAsia="zh-CN"/>
        </w:rPr>
        <w:t>815.14</w:t>
      </w:r>
      <w:r>
        <w:rPr>
          <w:rFonts w:hint="eastAsia" w:ascii="仿宋_GB2312" w:hAnsi="黑体" w:eastAsia="仿宋_GB2312" w:cs="方正小标宋简体"/>
          <w:color w:val="000000"/>
          <w:kern w:val="0"/>
          <w:sz w:val="30"/>
          <w:szCs w:val="30"/>
        </w:rPr>
        <w:t>万元，固定资产</w:t>
      </w:r>
      <w:r>
        <w:rPr>
          <w:rFonts w:hint="eastAsia" w:ascii="仿宋_GB2312" w:hAnsi="黑体" w:eastAsia="仿宋_GB2312" w:cs="方正小标宋简体"/>
          <w:color w:val="000000"/>
          <w:kern w:val="0"/>
          <w:sz w:val="30"/>
          <w:szCs w:val="30"/>
          <w:lang w:val="en-US" w:eastAsia="zh-CN"/>
        </w:rPr>
        <w:t>90.16</w:t>
      </w:r>
      <w:r>
        <w:rPr>
          <w:rFonts w:hint="eastAsia" w:ascii="仿宋_GB2312" w:hAnsi="黑体" w:eastAsia="仿宋_GB2312" w:cs="方正小标宋简体"/>
          <w:color w:val="000000"/>
          <w:kern w:val="0"/>
          <w:sz w:val="30"/>
          <w:szCs w:val="30"/>
        </w:rPr>
        <w:t>万元，对外投资及有价证券</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rPr>
        <w:t>万元，在建工程</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rPr>
        <w:t>万元，无形资产</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rPr>
        <w:t>万元，其他资产</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rPr>
        <w:t>万元。与上年相比，本年资产总额增加</w:t>
      </w:r>
      <w:r>
        <w:rPr>
          <w:rFonts w:hint="eastAsia" w:ascii="仿宋_GB2312" w:hAnsi="黑体" w:eastAsia="仿宋_GB2312" w:cs="方正小标宋简体"/>
          <w:color w:val="000000"/>
          <w:kern w:val="0"/>
          <w:sz w:val="30"/>
          <w:szCs w:val="30"/>
          <w:lang w:val="en-US" w:eastAsia="zh-CN"/>
        </w:rPr>
        <w:t>57.27</w:t>
      </w:r>
      <w:r>
        <w:rPr>
          <w:rFonts w:hint="eastAsia" w:ascii="仿宋_GB2312" w:hAnsi="黑体" w:eastAsia="仿宋_GB2312" w:cs="方正小标宋简体"/>
          <w:color w:val="000000"/>
          <w:kern w:val="0"/>
          <w:sz w:val="30"/>
          <w:szCs w:val="30"/>
        </w:rPr>
        <w:t>万元，其中固定资产增加</w:t>
      </w:r>
      <w:r>
        <w:rPr>
          <w:rFonts w:hint="eastAsia" w:ascii="仿宋_GB2312" w:hAnsi="黑体" w:eastAsia="仿宋_GB2312" w:cs="方正小标宋简体"/>
          <w:color w:val="000000"/>
          <w:kern w:val="0"/>
          <w:sz w:val="30"/>
          <w:szCs w:val="30"/>
          <w:lang w:val="en-US" w:eastAsia="zh-CN"/>
        </w:rPr>
        <w:t>5.76</w:t>
      </w:r>
      <w:r>
        <w:rPr>
          <w:rFonts w:hint="eastAsia" w:ascii="仿宋_GB2312" w:hAnsi="黑体" w:eastAsia="仿宋_GB2312" w:cs="方正小标宋简体"/>
          <w:color w:val="000000"/>
          <w:kern w:val="0"/>
          <w:sz w:val="30"/>
          <w:szCs w:val="30"/>
        </w:rPr>
        <w:t>万元。处置房屋建筑物</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rPr>
        <w:t>平方米，账面原值</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rPr>
        <w:t>万元；处置车辆</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rPr>
        <w:t>辆，账面原值</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rPr>
        <w:t>万元；报废报损资产</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rPr>
        <w:t>项，账面原值</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rPr>
        <w:t>万元，实现资产处置收入</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rPr>
        <w:t>万元；出租房屋</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rPr>
        <w:t>平方米，账面原值</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rPr>
        <w:t>万元，实现资产使用收入</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rPr>
        <w:t>万元。</w:t>
      </w:r>
    </w:p>
    <w:tbl>
      <w:tblPr>
        <w:tblStyle w:val="8"/>
        <w:tblpPr w:leftFromText="180" w:rightFromText="180" w:topFromText="100" w:bottomFromText="100" w:vertAnchor="text" w:horzAnchor="page" w:tblpX="534" w:tblpY="490"/>
        <w:tblOverlap w:val="never"/>
        <w:tblW w:w="0" w:type="auto"/>
        <w:tblInd w:w="0" w:type="dxa"/>
        <w:tblLayout w:type="fixed"/>
        <w:tblCellMar>
          <w:top w:w="0" w:type="dxa"/>
          <w:left w:w="0" w:type="dxa"/>
          <w:bottom w:w="0" w:type="dxa"/>
          <w:right w:w="0" w:type="dxa"/>
        </w:tblCellMar>
      </w:tblPr>
      <w:tblGrid>
        <w:gridCol w:w="715"/>
        <w:gridCol w:w="546"/>
        <w:gridCol w:w="700"/>
        <w:gridCol w:w="684"/>
        <w:gridCol w:w="474"/>
        <w:gridCol w:w="725"/>
        <w:gridCol w:w="769"/>
        <w:gridCol w:w="67"/>
        <w:gridCol w:w="865"/>
        <w:gridCol w:w="331"/>
        <w:gridCol w:w="643"/>
        <w:gridCol w:w="196"/>
        <w:gridCol w:w="978"/>
        <w:gridCol w:w="979"/>
        <w:gridCol w:w="360"/>
        <w:gridCol w:w="618"/>
        <w:gridCol w:w="360"/>
        <w:gridCol w:w="142"/>
        <w:gridCol w:w="476"/>
        <w:gridCol w:w="142"/>
      </w:tblGrid>
      <w:tr>
        <w:tblPrEx>
          <w:tblCellMar>
            <w:top w:w="0" w:type="dxa"/>
            <w:left w:w="0" w:type="dxa"/>
            <w:bottom w:w="0" w:type="dxa"/>
            <w:right w:w="0" w:type="dxa"/>
          </w:tblCellMar>
        </w:tblPrEx>
        <w:trPr>
          <w:wBefore w:w="0" w:type="dxa"/>
          <w:wAfter w:w="0" w:type="dxa"/>
          <w:trHeight w:val="495" w:hRule="atLeast"/>
        </w:trPr>
        <w:tc>
          <w:tcPr>
            <w:tcW w:w="10628" w:type="dxa"/>
            <w:gridSpan w:val="19"/>
            <w:tcBorders>
              <w:top w:val="nil"/>
              <w:left w:val="nil"/>
              <w:bottom w:val="nil"/>
              <w:right w:val="nil"/>
            </w:tcBorders>
            <w:shd w:val="clear" w:color="auto" w:fill="FFFFFF"/>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仿宋_GB2312" w:hAnsi="方正小标宋_GBK" w:eastAsia="仿宋_GB2312" w:cs="方正小标宋_GBK"/>
                <w:b/>
                <w:color w:val="000000"/>
                <w:kern w:val="0"/>
                <w:sz w:val="30"/>
                <w:szCs w:val="30"/>
                <w:lang w:bidi="ar"/>
              </w:rPr>
              <w:t>国有资产占有使用情况表</w:t>
            </w:r>
          </w:p>
        </w:tc>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rPr>
            </w:pPr>
          </w:p>
        </w:tc>
      </w:tr>
      <w:tr>
        <w:tblPrEx>
          <w:tblCellMar>
            <w:top w:w="0" w:type="dxa"/>
            <w:left w:w="0" w:type="dxa"/>
            <w:bottom w:w="0" w:type="dxa"/>
            <w:right w:w="0" w:type="dxa"/>
          </w:tblCellMar>
        </w:tblPrEx>
        <w:trPr>
          <w:wBefore w:w="0" w:type="dxa"/>
          <w:wAfter w:w="0" w:type="dxa"/>
          <w:trHeight w:val="347" w:hRule="atLeast"/>
        </w:trPr>
        <w:tc>
          <w:tcPr>
            <w:tcW w:w="4680" w:type="dxa"/>
            <w:gridSpan w:val="8"/>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textAlignment w:val="center"/>
              <w:rPr>
                <w:rFonts w:ascii="宋体" w:hAnsi="宋体" w:cs="宋体"/>
                <w:color w:val="000000"/>
                <w:kern w:val="0"/>
                <w:sz w:val="24"/>
                <w:szCs w:val="24"/>
              </w:rPr>
            </w:pPr>
            <w:r>
              <w:rPr>
                <w:rFonts w:hint="eastAsia" w:ascii="宋体" w:hAnsi="宋体" w:cs="宋体"/>
                <w:color w:val="000000"/>
                <w:kern w:val="0"/>
                <w:sz w:val="20"/>
                <w:szCs w:val="20"/>
              </w:rPr>
              <w:t> </w:t>
            </w:r>
          </w:p>
        </w:tc>
        <w:tc>
          <w:tcPr>
            <w:tcW w:w="865" w:type="dxa"/>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 w:val="20"/>
                <w:szCs w:val="20"/>
              </w:rPr>
              <w:t> </w:t>
            </w:r>
          </w:p>
        </w:tc>
        <w:tc>
          <w:tcPr>
            <w:tcW w:w="974" w:type="dxa"/>
            <w:gridSpan w:val="2"/>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 w:val="20"/>
                <w:szCs w:val="20"/>
              </w:rPr>
              <w:t> </w:t>
            </w:r>
          </w:p>
        </w:tc>
        <w:tc>
          <w:tcPr>
            <w:tcW w:w="196" w:type="dxa"/>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 w:val="20"/>
                <w:szCs w:val="20"/>
              </w:rPr>
              <w:t> </w:t>
            </w:r>
          </w:p>
        </w:tc>
        <w:tc>
          <w:tcPr>
            <w:tcW w:w="978" w:type="dxa"/>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 w:val="20"/>
                <w:szCs w:val="20"/>
              </w:rPr>
              <w:t> </w:t>
            </w:r>
          </w:p>
        </w:tc>
        <w:tc>
          <w:tcPr>
            <w:tcW w:w="979" w:type="dxa"/>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 w:val="20"/>
                <w:szCs w:val="20"/>
              </w:rPr>
              <w:t> </w:t>
            </w:r>
          </w:p>
        </w:tc>
        <w:tc>
          <w:tcPr>
            <w:tcW w:w="1956" w:type="dxa"/>
            <w:gridSpan w:val="5"/>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right"/>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单位：万元</w:t>
            </w:r>
          </w:p>
        </w:tc>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rPr>
            </w:pPr>
          </w:p>
        </w:tc>
      </w:tr>
      <w:tr>
        <w:tblPrEx>
          <w:tblCellMar>
            <w:top w:w="0" w:type="dxa"/>
            <w:left w:w="0" w:type="dxa"/>
            <w:bottom w:w="0" w:type="dxa"/>
            <w:right w:w="0" w:type="dxa"/>
          </w:tblCellMar>
        </w:tblPrEx>
        <w:trPr>
          <w:wBefore w:w="0" w:type="dxa"/>
          <w:wAfter w:w="0" w:type="dxa"/>
          <w:trHeight w:val="415" w:hRule="atLeast"/>
        </w:trPr>
        <w:tc>
          <w:tcPr>
            <w:tcW w:w="7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项目</w:t>
            </w:r>
          </w:p>
        </w:tc>
        <w:tc>
          <w:tcPr>
            <w:tcW w:w="5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行次</w:t>
            </w:r>
          </w:p>
        </w:tc>
        <w:tc>
          <w:tcPr>
            <w:tcW w:w="7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资产总额</w:t>
            </w:r>
          </w:p>
        </w:tc>
        <w:tc>
          <w:tcPr>
            <w:tcW w:w="6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流动资产</w:t>
            </w:r>
          </w:p>
        </w:tc>
        <w:tc>
          <w:tcPr>
            <w:tcW w:w="407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固定资产</w:t>
            </w:r>
          </w:p>
        </w:tc>
        <w:tc>
          <w:tcPr>
            <w:tcW w:w="9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对外投资/有价证券</w:t>
            </w:r>
          </w:p>
        </w:tc>
        <w:tc>
          <w:tcPr>
            <w:tcW w:w="9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在建工程</w:t>
            </w:r>
          </w:p>
        </w:tc>
        <w:tc>
          <w:tcPr>
            <w:tcW w:w="978" w:type="dxa"/>
            <w:gridSpan w:val="2"/>
            <w:vMerge w:val="restart"/>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无形资产</w:t>
            </w:r>
          </w:p>
        </w:tc>
        <w:tc>
          <w:tcPr>
            <w:tcW w:w="978" w:type="dxa"/>
            <w:gridSpan w:val="3"/>
            <w:vMerge w:val="restart"/>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其他资产</w:t>
            </w:r>
          </w:p>
        </w:tc>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rPr>
            </w:pPr>
          </w:p>
        </w:tc>
      </w:tr>
      <w:tr>
        <w:tblPrEx>
          <w:tblCellMar>
            <w:top w:w="0" w:type="dxa"/>
            <w:left w:w="0" w:type="dxa"/>
            <w:bottom w:w="0" w:type="dxa"/>
            <w:right w:w="0" w:type="dxa"/>
          </w:tblCellMar>
        </w:tblPrEx>
        <w:trPr>
          <w:wBefore w:w="0" w:type="dxa"/>
          <w:wAfter w:w="0" w:type="dxa"/>
          <w:trHeight w:val="345"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szCs w:val="24"/>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szCs w:val="24"/>
              </w:rPr>
            </w:pPr>
          </w:p>
        </w:tc>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szCs w:val="24"/>
              </w:rPr>
            </w:pPr>
          </w:p>
        </w:tc>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szCs w:val="24"/>
              </w:rPr>
            </w:pPr>
          </w:p>
        </w:tc>
        <w:tc>
          <w:tcPr>
            <w:tcW w:w="4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小计</w:t>
            </w:r>
          </w:p>
        </w:tc>
        <w:tc>
          <w:tcPr>
            <w:tcW w:w="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房屋构筑物</w:t>
            </w:r>
          </w:p>
        </w:tc>
        <w:tc>
          <w:tcPr>
            <w:tcW w:w="7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车辆</w:t>
            </w:r>
          </w:p>
        </w:tc>
        <w:tc>
          <w:tcPr>
            <w:tcW w:w="1263"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单价200万以上大型设备</w:t>
            </w:r>
          </w:p>
        </w:tc>
        <w:tc>
          <w:tcPr>
            <w:tcW w:w="83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其他固定资产</w:t>
            </w:r>
          </w:p>
        </w:tc>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szCs w:val="24"/>
              </w:rPr>
            </w:pPr>
          </w:p>
        </w:tc>
        <w:tc>
          <w:tcPr>
            <w:tcW w:w="97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szCs w:val="24"/>
              </w:rPr>
            </w:pPr>
          </w:p>
        </w:tc>
        <w:tc>
          <w:tcPr>
            <w:tcW w:w="978"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szCs w:val="24"/>
              </w:rPr>
            </w:pPr>
          </w:p>
        </w:tc>
        <w:tc>
          <w:tcPr>
            <w:tcW w:w="978" w:type="dxa"/>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szCs w:val="24"/>
              </w:rPr>
            </w:pPr>
          </w:p>
        </w:tc>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rPr>
            </w:pPr>
          </w:p>
        </w:tc>
      </w:tr>
      <w:tr>
        <w:tblPrEx>
          <w:tblCellMar>
            <w:top w:w="0" w:type="dxa"/>
            <w:left w:w="0" w:type="dxa"/>
            <w:bottom w:w="0" w:type="dxa"/>
            <w:right w:w="0" w:type="dxa"/>
          </w:tblCellMar>
        </w:tblPrEx>
        <w:trPr>
          <w:wBefore w:w="0" w:type="dxa"/>
          <w:wAfter w:w="0" w:type="dxa"/>
          <w:trHeight w:val="395"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szCs w:val="24"/>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szCs w:val="24"/>
              </w:rPr>
            </w:pPr>
          </w:p>
        </w:tc>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szCs w:val="24"/>
              </w:rPr>
            </w:pPr>
          </w:p>
        </w:tc>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szCs w:val="24"/>
              </w:rPr>
            </w:pPr>
          </w:p>
        </w:tc>
        <w:tc>
          <w:tcPr>
            <w:tcW w:w="4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szCs w:val="24"/>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szCs w:val="24"/>
              </w:rPr>
            </w:pPr>
          </w:p>
        </w:tc>
        <w:tc>
          <w:tcPr>
            <w:tcW w:w="7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szCs w:val="24"/>
              </w:rPr>
            </w:pPr>
          </w:p>
        </w:tc>
        <w:tc>
          <w:tcPr>
            <w:tcW w:w="126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szCs w:val="24"/>
              </w:rPr>
            </w:pPr>
          </w:p>
        </w:tc>
        <w:tc>
          <w:tcPr>
            <w:tcW w:w="83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szCs w:val="24"/>
              </w:rPr>
            </w:pPr>
          </w:p>
        </w:tc>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szCs w:val="24"/>
              </w:rPr>
            </w:pPr>
          </w:p>
        </w:tc>
        <w:tc>
          <w:tcPr>
            <w:tcW w:w="97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szCs w:val="24"/>
              </w:rPr>
            </w:pPr>
          </w:p>
        </w:tc>
        <w:tc>
          <w:tcPr>
            <w:tcW w:w="978"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szCs w:val="24"/>
              </w:rPr>
            </w:pPr>
          </w:p>
        </w:tc>
        <w:tc>
          <w:tcPr>
            <w:tcW w:w="978" w:type="dxa"/>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szCs w:val="24"/>
              </w:rPr>
            </w:pPr>
          </w:p>
        </w:tc>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rPr>
            </w:pPr>
          </w:p>
        </w:tc>
      </w:tr>
      <w:tr>
        <w:tblPrEx>
          <w:tblCellMar>
            <w:top w:w="0" w:type="dxa"/>
            <w:left w:w="0" w:type="dxa"/>
            <w:bottom w:w="0" w:type="dxa"/>
            <w:right w:w="0" w:type="dxa"/>
          </w:tblCellMar>
        </w:tblPrEx>
        <w:trPr>
          <w:wBefore w:w="0" w:type="dxa"/>
          <w:wAfter w:w="0" w:type="dxa"/>
          <w:trHeight w:val="358" w:hRule="atLeast"/>
        </w:trPr>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栏次</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rPr>
                <w:rFonts w:ascii="宋体" w:hAnsi="宋体" w:cs="宋体"/>
                <w:color w:val="000000"/>
                <w:kern w:val="0"/>
                <w:sz w:val="24"/>
                <w:szCs w:val="24"/>
              </w:rPr>
            </w:pPr>
            <w:r>
              <w:rPr>
                <w:rFonts w:hint="eastAsia" w:ascii="宋体" w:hAnsi="宋体" w:cs="宋体"/>
                <w:color w:val="000000"/>
                <w:kern w:val="0"/>
                <w:sz w:val="20"/>
                <w:szCs w:val="20"/>
              </w:rPr>
              <w:t> </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1</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2</w:t>
            </w: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3</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4</w:t>
            </w:r>
          </w:p>
        </w:tc>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5</w:t>
            </w:r>
          </w:p>
        </w:tc>
        <w:tc>
          <w:tcPr>
            <w:tcW w:w="126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6</w:t>
            </w:r>
          </w:p>
        </w:tc>
        <w:tc>
          <w:tcPr>
            <w:tcW w:w="8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7</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8</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9</w:t>
            </w:r>
          </w:p>
        </w:tc>
        <w:tc>
          <w:tcPr>
            <w:tcW w:w="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10</w:t>
            </w:r>
          </w:p>
        </w:tc>
        <w:tc>
          <w:tcPr>
            <w:tcW w:w="9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11</w:t>
            </w:r>
          </w:p>
        </w:tc>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rPr>
            </w:pPr>
          </w:p>
        </w:tc>
      </w:tr>
      <w:tr>
        <w:tblPrEx>
          <w:tblCellMar>
            <w:top w:w="0" w:type="dxa"/>
            <w:left w:w="0" w:type="dxa"/>
            <w:bottom w:w="0" w:type="dxa"/>
            <w:right w:w="0" w:type="dxa"/>
          </w:tblCellMar>
        </w:tblPrEx>
        <w:trPr>
          <w:wBefore w:w="0" w:type="dxa"/>
          <w:wAfter w:w="0" w:type="dxa"/>
          <w:trHeight w:val="563" w:hRule="atLeast"/>
        </w:trPr>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合计</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0"/>
                <w:szCs w:val="20"/>
                <w:lang w:bidi="ar"/>
              </w:rPr>
              <w:t>1</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0"/>
                <w:szCs w:val="20"/>
                <w:lang w:val="en-US" w:eastAsia="zh-CN"/>
              </w:rPr>
              <w:t>905.30</w:t>
            </w:r>
            <w:r>
              <w:rPr>
                <w:rFonts w:hint="eastAsia" w:ascii="宋体" w:hAnsi="宋体" w:cs="宋体"/>
                <w:color w:val="000000"/>
                <w:kern w:val="0"/>
                <w:sz w:val="20"/>
                <w:szCs w:val="20"/>
              </w:rPr>
              <w:t> </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0"/>
                <w:szCs w:val="20"/>
                <w:lang w:val="en-US" w:eastAsia="zh-CN"/>
              </w:rPr>
              <w:t>815.14</w:t>
            </w:r>
            <w:r>
              <w:rPr>
                <w:rFonts w:hint="eastAsia" w:ascii="宋体" w:hAnsi="宋体" w:cs="宋体"/>
                <w:color w:val="000000"/>
                <w:kern w:val="0"/>
                <w:sz w:val="20"/>
                <w:szCs w:val="20"/>
              </w:rPr>
              <w:t> </w:t>
            </w:r>
          </w:p>
        </w:tc>
        <w:tc>
          <w:tcPr>
            <w:tcW w:w="4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0"/>
                <w:szCs w:val="20"/>
                <w:lang w:val="en-US" w:eastAsia="zh-CN"/>
              </w:rPr>
              <w:t>57.27</w:t>
            </w:r>
            <w:r>
              <w:rPr>
                <w:rFonts w:hint="eastAsia" w:ascii="宋体" w:hAnsi="宋体" w:cs="宋体"/>
                <w:color w:val="000000"/>
                <w:kern w:val="0"/>
                <w:sz w:val="20"/>
                <w:szCs w:val="20"/>
              </w:rPr>
              <w:t> </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0"/>
                <w:szCs w:val="20"/>
                <w:lang w:val="en-US" w:eastAsia="zh-CN"/>
              </w:rPr>
              <w:t>17.02</w:t>
            </w:r>
            <w:r>
              <w:rPr>
                <w:rFonts w:hint="eastAsia" w:ascii="宋体" w:hAnsi="宋体" w:cs="宋体"/>
                <w:color w:val="000000"/>
                <w:kern w:val="0"/>
                <w:sz w:val="20"/>
                <w:szCs w:val="20"/>
              </w:rPr>
              <w:t> </w:t>
            </w:r>
          </w:p>
        </w:tc>
        <w:tc>
          <w:tcPr>
            <w:tcW w:w="126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8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0"/>
                <w:szCs w:val="20"/>
                <w:lang w:val="en-US" w:eastAsia="zh-CN"/>
              </w:rPr>
              <w:t>40.25</w:t>
            </w:r>
            <w:r>
              <w:rPr>
                <w:rFonts w:hint="eastAsia" w:ascii="宋体" w:hAnsi="宋体" w:cs="宋体"/>
                <w:color w:val="000000"/>
                <w:kern w:val="0"/>
                <w:sz w:val="20"/>
                <w:szCs w:val="20"/>
              </w:rPr>
              <w:t> </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9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rPr>
            </w:pPr>
          </w:p>
        </w:tc>
      </w:tr>
      <w:tr>
        <w:tblPrEx>
          <w:tblCellMar>
            <w:top w:w="0" w:type="dxa"/>
            <w:left w:w="0" w:type="dxa"/>
            <w:bottom w:w="0" w:type="dxa"/>
            <w:right w:w="0" w:type="dxa"/>
          </w:tblCellMar>
        </w:tblPrEx>
        <w:trPr>
          <w:gridAfter w:val="2"/>
          <w:wBefore w:w="0" w:type="dxa"/>
          <w:wAfter w:w="618" w:type="dxa"/>
          <w:trHeight w:val="259" w:hRule="atLeast"/>
        </w:trPr>
        <w:tc>
          <w:tcPr>
            <w:tcW w:w="8672" w:type="dxa"/>
            <w:gridSpan w:val="14"/>
            <w:tcBorders>
              <w:top w:val="nil"/>
              <w:left w:val="nil"/>
              <w:bottom w:val="nil"/>
              <w:right w:val="nil"/>
            </w:tcBorders>
            <w:noWrap w:val="0"/>
            <w:tcMar>
              <w:top w:w="15" w:type="dxa"/>
              <w:left w:w="15" w:type="dxa"/>
              <w:bottom w:w="15" w:type="dxa"/>
              <w:right w:w="15" w:type="dxa"/>
            </w:tcMar>
            <w:vAlign w:val="bottom"/>
          </w:tcPr>
          <w:p>
            <w:pPr>
              <w:widowControl/>
              <w:rPr>
                <w:rFonts w:ascii="宋体" w:hAnsi="宋体" w:cs="宋体"/>
                <w:color w:val="000000"/>
                <w:kern w:val="0"/>
                <w:sz w:val="24"/>
                <w:szCs w:val="24"/>
              </w:rPr>
            </w:pPr>
          </w:p>
        </w:tc>
        <w:tc>
          <w:tcPr>
            <w:tcW w:w="360" w:type="dxa"/>
            <w:tcBorders>
              <w:top w:val="nil"/>
              <w:left w:val="nil"/>
              <w:bottom w:val="nil"/>
              <w:right w:val="nil"/>
            </w:tcBorders>
            <w:noWrap w:val="0"/>
            <w:tcMar>
              <w:top w:w="15" w:type="dxa"/>
              <w:left w:w="15" w:type="dxa"/>
              <w:bottom w:w="15" w:type="dxa"/>
              <w:right w:w="15" w:type="dxa"/>
            </w:tcMar>
            <w:vAlign w:val="bottom"/>
          </w:tcPr>
          <w:p>
            <w:pPr>
              <w:widowControl/>
              <w:rPr>
                <w:rFonts w:ascii="宋体" w:hAnsi="宋体" w:cs="宋体"/>
                <w:color w:val="000000"/>
                <w:kern w:val="0"/>
                <w:sz w:val="20"/>
                <w:lang w:bidi="ar"/>
              </w:rPr>
            </w:pPr>
          </w:p>
        </w:tc>
        <w:tc>
          <w:tcPr>
            <w:tcW w:w="978" w:type="dxa"/>
            <w:gridSpan w:val="2"/>
            <w:tcBorders>
              <w:top w:val="nil"/>
              <w:left w:val="nil"/>
              <w:bottom w:val="nil"/>
              <w:right w:val="nil"/>
            </w:tcBorders>
            <w:noWrap w:val="0"/>
            <w:tcMar>
              <w:top w:w="15" w:type="dxa"/>
              <w:left w:w="15" w:type="dxa"/>
              <w:bottom w:w="15" w:type="dxa"/>
              <w:right w:w="15" w:type="dxa"/>
            </w:tcMar>
            <w:vAlign w:val="bottom"/>
          </w:tcPr>
          <w:p>
            <w:pPr>
              <w:widowControl/>
              <w:jc w:val="left"/>
              <w:rPr>
                <w:rFonts w:ascii="宋体" w:hAnsi="宋体" w:cs="宋体"/>
                <w:color w:val="000000"/>
                <w:kern w:val="0"/>
                <w:sz w:val="24"/>
                <w:szCs w:val="24"/>
              </w:rPr>
            </w:pPr>
          </w:p>
        </w:tc>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rPr>
            </w:pPr>
          </w:p>
        </w:tc>
      </w:tr>
      <w:tr>
        <w:tblPrEx>
          <w:tblCellMar>
            <w:top w:w="0" w:type="dxa"/>
            <w:left w:w="0" w:type="dxa"/>
            <w:bottom w:w="0" w:type="dxa"/>
            <w:right w:w="0" w:type="dxa"/>
          </w:tblCellMar>
        </w:tblPrEx>
        <w:trPr>
          <w:wBefore w:w="0" w:type="dxa"/>
          <w:wAfter w:w="0" w:type="dxa"/>
          <w:trHeight w:val="495" w:hRule="atLeast"/>
        </w:trPr>
        <w:tc>
          <w:tcPr>
            <w:tcW w:w="9650" w:type="dxa"/>
            <w:gridSpan w:val="16"/>
            <w:tcBorders>
              <w:top w:val="nil"/>
              <w:left w:val="nil"/>
              <w:bottom w:val="nil"/>
              <w:right w:val="nil"/>
            </w:tcBorders>
            <w:noWrap w:val="0"/>
            <w:tcMar>
              <w:top w:w="15" w:type="dxa"/>
              <w:left w:w="15" w:type="dxa"/>
              <w:bottom w:w="15" w:type="dxa"/>
              <w:right w:w="15" w:type="dxa"/>
            </w:tcMar>
            <w:vAlign w:val="bottom"/>
          </w:tcPr>
          <w:p>
            <w:pPr>
              <w:widowControl/>
              <w:rPr>
                <w:rFonts w:hint="eastAsia" w:ascii="宋体" w:hAnsi="宋体" w:cs="宋体"/>
                <w:color w:val="000000"/>
                <w:kern w:val="0"/>
                <w:sz w:val="20"/>
                <w:szCs w:val="20"/>
              </w:rPr>
            </w:pPr>
            <w:r>
              <w:rPr>
                <w:rFonts w:hint="eastAsia" w:ascii="宋体" w:hAnsi="宋体" w:cs="宋体"/>
                <w:color w:val="000000"/>
                <w:kern w:val="0"/>
                <w:sz w:val="20"/>
                <w:szCs w:val="20"/>
              </w:rPr>
              <w:t>填报说明：1.资产总额＝流动资产＋固定资产＋对外投资</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有价证券＋在建工程＋无形资产＋其他资产</w:t>
            </w:r>
          </w:p>
          <w:p>
            <w:pPr>
              <w:widowControl/>
              <w:ind w:firstLine="1000" w:firstLineChars="500"/>
              <w:rPr>
                <w:rFonts w:ascii="宋体" w:hAnsi="宋体" w:cs="宋体"/>
                <w:color w:val="000000"/>
                <w:kern w:val="0"/>
                <w:sz w:val="20"/>
                <w:szCs w:val="20"/>
              </w:rPr>
            </w:pPr>
            <w:r>
              <w:rPr>
                <w:rFonts w:hint="eastAsia" w:ascii="宋体" w:hAnsi="宋体" w:cs="宋体"/>
                <w:color w:val="000000"/>
                <w:kern w:val="0"/>
                <w:sz w:val="20"/>
                <w:szCs w:val="20"/>
              </w:rPr>
              <w:t>2.固定资产＝房屋构筑物＋车辆＋单价200万元以上大型设备＋其他固定资产</w:t>
            </w:r>
          </w:p>
        </w:tc>
        <w:tc>
          <w:tcPr>
            <w:tcW w:w="978" w:type="dxa"/>
            <w:gridSpan w:val="3"/>
            <w:tcBorders>
              <w:top w:val="nil"/>
              <w:left w:val="nil"/>
              <w:bottom w:val="nil"/>
              <w:right w:val="nil"/>
            </w:tcBorders>
            <w:noWrap w:val="0"/>
            <w:tcMar>
              <w:top w:w="15" w:type="dxa"/>
              <w:left w:w="15" w:type="dxa"/>
              <w:bottom w:w="15" w:type="dxa"/>
              <w:right w:w="15" w:type="dxa"/>
            </w:tcMar>
            <w:vAlign w:val="bottom"/>
          </w:tcPr>
          <w:p>
            <w:pPr>
              <w:widowControl/>
              <w:jc w:val="left"/>
              <w:rPr>
                <w:rFonts w:ascii="宋体" w:hAnsi="宋体" w:cs="宋体"/>
                <w:color w:val="000000"/>
                <w:kern w:val="0"/>
                <w:sz w:val="24"/>
                <w:szCs w:val="24"/>
              </w:rPr>
            </w:pPr>
            <w:r>
              <w:rPr>
                <w:rFonts w:ascii="Arial" w:hAnsi="Arial" w:cs="Arial"/>
                <w:color w:val="000000"/>
                <w:kern w:val="0"/>
                <w:sz w:val="20"/>
                <w:szCs w:val="20"/>
              </w:rPr>
              <w:t> </w:t>
            </w:r>
          </w:p>
        </w:tc>
        <w:tc>
          <w:tcPr>
            <w:tcW w:w="142" w:type="dxa"/>
            <w:noWrap w:val="0"/>
            <w:vAlign w:val="center"/>
          </w:tcPr>
          <w:p>
            <w:pPr>
              <w:widowControl/>
              <w:jc w:val="left"/>
              <w:rPr>
                <w:rFonts w:ascii="Times New Roman" w:hAnsi="Times New Roman" w:eastAsia="Times New Roman"/>
                <w:kern w:val="0"/>
                <w:sz w:val="20"/>
                <w:szCs w:val="20"/>
              </w:rPr>
            </w:pPr>
          </w:p>
        </w:tc>
      </w:tr>
    </w:tbl>
    <w:p>
      <w:pPr>
        <w:ind w:firstLine="600" w:firstLineChars="200"/>
        <w:jc w:val="left"/>
        <w:rPr>
          <w:rFonts w:hint="eastAsia" w:ascii="黑体" w:hAnsi="黑体" w:eastAsia="黑体" w:cs="黑体"/>
          <w:sz w:val="30"/>
          <w:szCs w:val="30"/>
        </w:rPr>
      </w:pPr>
      <w:r>
        <w:rPr>
          <w:rFonts w:hint="eastAsia" w:ascii="黑体" w:hAnsi="黑体" w:eastAsia="黑体" w:cs="黑体"/>
          <w:sz w:val="30"/>
          <w:szCs w:val="30"/>
          <w:lang w:eastAsia="zh-CN"/>
        </w:rPr>
        <w:t>三、</w:t>
      </w:r>
      <w:r>
        <w:rPr>
          <w:rFonts w:hint="eastAsia" w:ascii="黑体" w:hAnsi="黑体" w:eastAsia="黑体" w:cs="黑体"/>
          <w:sz w:val="30"/>
          <w:szCs w:val="30"/>
        </w:rPr>
        <w:t>政府采购支出情况</w:t>
      </w:r>
    </w:p>
    <w:p>
      <w:pPr>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2019年度，部门政府采购支出总额0万元，其中：政府采购货物支出0万元；政府采购工程支出0万元；政府采购服务支出0万元。授予中小企业合同金额0万元，占政府采购支出总额的0%。</w:t>
      </w:r>
    </w:p>
    <w:p>
      <w:pPr>
        <w:ind w:firstLine="600" w:firstLineChars="200"/>
        <w:jc w:val="left"/>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四、部门绩效自评情况</w:t>
      </w:r>
    </w:p>
    <w:p>
      <w:pPr>
        <w:widowControl/>
        <w:snapToGrid w:val="0"/>
        <w:spacing w:before="100" w:after="100" w:line="360" w:lineRule="auto"/>
        <w:ind w:firstLine="600" w:firstLineChars="200"/>
        <w:jc w:val="left"/>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部门绩效自评情况详见附表（附表9—附表11）。</w:t>
      </w:r>
    </w:p>
    <w:p>
      <w:pPr>
        <w:widowControl/>
        <w:snapToGrid w:val="0"/>
        <w:spacing w:before="100" w:after="100" w:line="360" w:lineRule="auto"/>
        <w:ind w:firstLine="600" w:firstLineChars="200"/>
        <w:jc w:val="lef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五、其他重要事项情况说明</w:t>
      </w:r>
    </w:p>
    <w:p>
      <w:pPr>
        <w:ind w:firstLine="600" w:firstLineChars="200"/>
        <w:jc w:val="left"/>
        <w:rPr>
          <w:rFonts w:hint="eastAsia" w:ascii="仿宋_GB2312" w:hAnsi="黑体" w:eastAsia="仿宋_GB2312" w:cs="方正小标宋简体"/>
          <w:sz w:val="30"/>
          <w:szCs w:val="30"/>
        </w:rPr>
      </w:pPr>
      <w:r>
        <w:rPr>
          <w:rFonts w:hint="eastAsia" w:ascii="仿宋_GB2312" w:hAnsi="黑体" w:eastAsia="仿宋_GB2312" w:cs="方正小标宋简体"/>
          <w:sz w:val="30"/>
          <w:szCs w:val="30"/>
          <w:lang w:val="en-US" w:eastAsia="zh-CN"/>
        </w:rPr>
        <w:t>我</w:t>
      </w:r>
      <w:r>
        <w:rPr>
          <w:rFonts w:hint="eastAsia" w:ascii="仿宋_GB2312" w:hAnsi="黑体" w:eastAsia="仿宋_GB2312" w:cs="方正小标宋简体"/>
          <w:sz w:val="30"/>
          <w:szCs w:val="30"/>
        </w:rPr>
        <w:t>单位</w:t>
      </w:r>
      <w:r>
        <w:rPr>
          <w:rFonts w:hint="eastAsia" w:ascii="仿宋_GB2312" w:hAnsi="黑体" w:eastAsia="仿宋_GB2312" w:cs="方正小标宋简体"/>
          <w:sz w:val="30"/>
          <w:szCs w:val="30"/>
          <w:lang w:val="en-US" w:eastAsia="zh-CN"/>
        </w:rPr>
        <w:t>无</w:t>
      </w:r>
      <w:r>
        <w:rPr>
          <w:rFonts w:hint="eastAsia" w:ascii="仿宋_GB2312" w:hAnsi="黑体" w:eastAsia="仿宋_GB2312" w:cs="方正小标宋简体"/>
          <w:sz w:val="30"/>
          <w:szCs w:val="30"/>
        </w:rPr>
        <w:t>需要说明的情况</w:t>
      </w:r>
    </w:p>
    <w:p>
      <w:pPr>
        <w:widowControl/>
        <w:snapToGrid w:val="0"/>
        <w:spacing w:before="100" w:after="100" w:line="360" w:lineRule="auto"/>
        <w:ind w:firstLine="600" w:firstLineChars="200"/>
        <w:jc w:val="lef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六、相关口径说明</w:t>
      </w:r>
    </w:p>
    <w:p>
      <w:pPr>
        <w:ind w:firstLine="600" w:firstLineChars="200"/>
        <w:jc w:val="left"/>
        <w:rPr>
          <w:rFonts w:hint="eastAsia" w:ascii="仿宋_GB2312" w:hAnsi="黑体" w:eastAsia="仿宋_GB2312" w:cs="方正小标宋简体"/>
          <w:sz w:val="30"/>
          <w:szCs w:val="30"/>
        </w:rPr>
      </w:pPr>
      <w:r>
        <w:rPr>
          <w:rFonts w:hint="eastAsia" w:ascii="仿宋_GB2312" w:hAnsi="黑体" w:eastAsia="仿宋_GB2312" w:cs="方正小标宋简体"/>
          <w:sz w:val="30"/>
          <w:szCs w:val="30"/>
          <w:lang w:eastAsia="zh-CN"/>
        </w:rPr>
        <w:t>（一）</w:t>
      </w:r>
      <w:r>
        <w:rPr>
          <w:rFonts w:hint="eastAsia" w:ascii="仿宋_GB2312" w:hAnsi="黑体" w:eastAsia="仿宋_GB2312" w:cs="方正小标宋简体"/>
          <w:sz w:val="30"/>
          <w:szCs w:val="30"/>
        </w:rPr>
        <w:t>基本支出中人员经费包括工资福利支出和对个人和家庭的补助，日常公用支出包括商品和服务支出、资本性支出等人员经费以外的支出。</w:t>
      </w:r>
    </w:p>
    <w:p>
      <w:pPr>
        <w:ind w:firstLine="600" w:firstLineChars="200"/>
        <w:jc w:val="left"/>
        <w:rPr>
          <w:rFonts w:hint="eastAsia" w:ascii="仿宋_GB2312" w:hAnsi="黑体" w:eastAsia="仿宋_GB2312" w:cs="方正小标宋简体"/>
          <w:sz w:val="30"/>
          <w:szCs w:val="30"/>
        </w:rPr>
      </w:pPr>
      <w:r>
        <w:rPr>
          <w:rFonts w:hint="eastAsia" w:ascii="仿宋_GB2312" w:hAnsi="黑体" w:eastAsia="仿宋_GB2312" w:cs="方正小标宋简体"/>
          <w:sz w:val="30"/>
          <w:szCs w:val="30"/>
          <w:lang w:eastAsia="zh-CN"/>
        </w:rPr>
        <w:t>（二）</w:t>
      </w:r>
      <w:r>
        <w:rPr>
          <w:rFonts w:hint="eastAsia" w:ascii="仿宋_GB2312" w:hAnsi="黑体" w:eastAsia="仿宋_GB2312" w:cs="方正小标宋简体"/>
          <w:sz w:val="30"/>
          <w:szCs w:val="30"/>
        </w:rPr>
        <w:t>机关运行经费指行政单位和参照公务员法管理的事业单位使用一般公共预算财政拨款安排的基本支出中的日常公用经费支出</w:t>
      </w:r>
      <w:r>
        <w:rPr>
          <w:rFonts w:hint="eastAsia" w:ascii="仿宋_GB2312" w:hAnsi="黑体" w:eastAsia="仿宋_GB2312" w:cs="方正小标宋简体"/>
          <w:sz w:val="30"/>
          <w:szCs w:val="30"/>
          <w:lang w:eastAsia="zh-CN"/>
        </w:rPr>
        <w:t>。</w:t>
      </w:r>
    </w:p>
    <w:p>
      <w:pPr>
        <w:ind w:firstLine="600" w:firstLineChars="200"/>
        <w:jc w:val="left"/>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lang w:eastAsia="zh-CN"/>
        </w:rPr>
        <w:t>（三）</w:t>
      </w:r>
      <w:r>
        <w:rPr>
          <w:rFonts w:hint="eastAsia" w:ascii="仿宋_GB2312" w:hAnsi="黑体" w:eastAsia="仿宋_GB2312" w:cs="方正小标宋简体"/>
          <w:sz w:val="30"/>
          <w:szCs w:val="30"/>
        </w:rPr>
        <w:t>按照党中央、国务院有关文件及部门预算管理有关规定，“三公”经费包括因公出国（境）费、公务用车购置及运行维护费、公务接待费。</w:t>
      </w:r>
      <w:r>
        <w:rPr>
          <w:rFonts w:hint="eastAsia" w:ascii="仿宋_GB2312" w:hAnsi="黑体" w:eastAsia="仿宋_GB2312" w:cs="方正小标宋简体"/>
          <w:sz w:val="30"/>
          <w:szCs w:val="30"/>
          <w:highlight w:val="none"/>
        </w:rPr>
        <w:t>其中：因公出国（境）费，指单位公务出国（境）的国际旅费、国外城市间交通费、住宿费、伙食费、培训费、公杂费等支出；公务用车购置费，指公务用车购置支出（含车辆购置税</w:t>
      </w:r>
      <w:r>
        <w:rPr>
          <w:rFonts w:hint="eastAsia" w:ascii="仿宋_GB2312" w:hAnsi="黑体" w:eastAsia="仿宋_GB2312" w:cs="方正小标宋简体"/>
          <w:sz w:val="30"/>
          <w:szCs w:val="30"/>
          <w:highlight w:val="none"/>
          <w:lang w:eastAsia="zh-CN"/>
        </w:rPr>
        <w:t>、牌照费</w:t>
      </w:r>
      <w:r>
        <w:rPr>
          <w:rFonts w:hint="eastAsia" w:ascii="仿宋_GB2312" w:hAnsi="黑体" w:eastAsia="仿宋_GB2312" w:cs="方正小标宋简体"/>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ind w:firstLine="600" w:firstLineChars="200"/>
        <w:jc w:val="left"/>
        <w:rPr>
          <w:rFonts w:hint="eastAsia" w:ascii="仿宋_GB2312" w:hAnsi="黑体" w:eastAsia="仿宋_GB2312" w:cs="方正小标宋简体"/>
          <w:sz w:val="30"/>
          <w:szCs w:val="30"/>
        </w:rPr>
      </w:pPr>
      <w:r>
        <w:rPr>
          <w:rFonts w:hint="eastAsia" w:ascii="仿宋_GB2312" w:hAnsi="黑体" w:eastAsia="仿宋_GB2312" w:cs="方正小标宋简体"/>
          <w:sz w:val="30"/>
          <w:szCs w:val="30"/>
          <w:lang w:eastAsia="zh-CN"/>
        </w:rPr>
        <w:t>（四）</w:t>
      </w:r>
      <w:r>
        <w:rPr>
          <w:rFonts w:hint="eastAsia" w:ascii="仿宋_GB2312" w:hAnsi="黑体" w:eastAsia="仿宋_GB2312" w:cs="方正小标宋简体"/>
          <w:sz w:val="30"/>
          <w:szCs w:val="30"/>
        </w:rPr>
        <w:t>“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jc w:val="center"/>
        <w:rPr>
          <w:rFonts w:hint="eastAsia" w:ascii="黑体" w:hAnsi="黑体" w:eastAsia="黑体" w:cs="方正小标宋简体"/>
          <w:sz w:val="32"/>
          <w:szCs w:val="32"/>
        </w:rPr>
      </w:pPr>
      <w:r>
        <w:rPr>
          <w:rFonts w:hint="eastAsia" w:ascii="黑体" w:hAnsi="黑体" w:eastAsia="黑体" w:cs="方正小标宋简体"/>
          <w:sz w:val="32"/>
          <w:szCs w:val="32"/>
        </w:rPr>
        <w:t>第</w:t>
      </w:r>
      <w:r>
        <w:rPr>
          <w:rFonts w:hint="eastAsia" w:ascii="黑体" w:hAnsi="黑体" w:eastAsia="黑体" w:cs="方正小标宋简体"/>
          <w:sz w:val="32"/>
          <w:szCs w:val="32"/>
          <w:lang w:eastAsia="zh-CN"/>
        </w:rPr>
        <w:t>五</w:t>
      </w:r>
      <w:r>
        <w:rPr>
          <w:rFonts w:hint="eastAsia" w:ascii="黑体" w:hAnsi="黑体" w:eastAsia="黑体" w:cs="方正小标宋简体"/>
          <w:sz w:val="32"/>
          <w:szCs w:val="32"/>
        </w:rPr>
        <w:t>部分  名词解释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0" w:lineRule="atLeast"/>
        <w:ind w:left="0" w:right="0" w:firstLine="400"/>
        <w:rPr>
          <w:rFonts w:hint="eastAsia" w:ascii="仿宋_GB2312" w:hAnsi="黑体" w:eastAsia="仿宋_GB2312" w:cs="方正小标宋简体"/>
          <w:kern w:val="2"/>
          <w:sz w:val="30"/>
          <w:szCs w:val="30"/>
          <w:lang w:val="en-US" w:eastAsia="zh-CN" w:bidi="ar-SA"/>
        </w:rPr>
      </w:pPr>
      <w:r>
        <w:rPr>
          <w:rFonts w:hint="eastAsia" w:ascii="仿宋_GB2312" w:hAnsi="黑体" w:eastAsia="仿宋_GB2312" w:cs="方正小标宋简体"/>
          <w:kern w:val="2"/>
          <w:sz w:val="30"/>
          <w:szCs w:val="30"/>
          <w:lang w:val="en-US" w:eastAsia="zh-CN" w:bidi="ar-SA"/>
        </w:rPr>
        <w:t>“三公”经费：是指财政拨款支出安排的出国（境）费、车辆购置及运行费、公务接待费这三项经费。</w:t>
      </w:r>
    </w:p>
    <w:p>
      <w:pPr>
        <w:ind w:firstLine="600" w:firstLineChars="200"/>
        <w:jc w:val="left"/>
        <w:rPr>
          <w:rFonts w:hint="eastAsia" w:ascii="仿宋_GB2312" w:hAnsi="黑体" w:eastAsia="仿宋_GB2312" w:cs="方正小标宋简体"/>
          <w:sz w:val="30"/>
          <w:szCs w:val="30"/>
        </w:rPr>
      </w:pPr>
    </w:p>
    <w:sectPr>
      <w:headerReference r:id="rId3" w:type="default"/>
      <w:footerReference r:id="rId4" w:type="default"/>
      <w:footerReference r:id="rId5" w:type="even"/>
      <w:pgSz w:w="11906" w:h="16838"/>
      <w:pgMar w:top="2098" w:right="1418" w:bottom="1588"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roma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lang/>
      </w:rPr>
      <w:t>8</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7A6CF4"/>
    <w:multiLevelType w:val="singleLevel"/>
    <w:tmpl w:val="C97A6CF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0A2"/>
    <w:rsid w:val="0001258E"/>
    <w:rsid w:val="00014033"/>
    <w:rsid w:val="00015917"/>
    <w:rsid w:val="0003511E"/>
    <w:rsid w:val="000913E4"/>
    <w:rsid w:val="00096FD6"/>
    <w:rsid w:val="000A6010"/>
    <w:rsid w:val="000C3242"/>
    <w:rsid w:val="000E1FB4"/>
    <w:rsid w:val="000F1483"/>
    <w:rsid w:val="0010004D"/>
    <w:rsid w:val="001263DA"/>
    <w:rsid w:val="001374A6"/>
    <w:rsid w:val="001536A4"/>
    <w:rsid w:val="00154575"/>
    <w:rsid w:val="001749E4"/>
    <w:rsid w:val="00182815"/>
    <w:rsid w:val="001A0E45"/>
    <w:rsid w:val="001A3A9F"/>
    <w:rsid w:val="001C2096"/>
    <w:rsid w:val="001C6512"/>
    <w:rsid w:val="00224AF2"/>
    <w:rsid w:val="002360A6"/>
    <w:rsid w:val="002718E1"/>
    <w:rsid w:val="0029065D"/>
    <w:rsid w:val="002A35DC"/>
    <w:rsid w:val="002B295A"/>
    <w:rsid w:val="002D0360"/>
    <w:rsid w:val="002E1618"/>
    <w:rsid w:val="00310284"/>
    <w:rsid w:val="003663D2"/>
    <w:rsid w:val="00371195"/>
    <w:rsid w:val="00392FEE"/>
    <w:rsid w:val="00393375"/>
    <w:rsid w:val="003938CD"/>
    <w:rsid w:val="003A263E"/>
    <w:rsid w:val="003C233F"/>
    <w:rsid w:val="003E167F"/>
    <w:rsid w:val="003F462A"/>
    <w:rsid w:val="00400D59"/>
    <w:rsid w:val="0040467A"/>
    <w:rsid w:val="00430657"/>
    <w:rsid w:val="004375EE"/>
    <w:rsid w:val="0045007E"/>
    <w:rsid w:val="004636A8"/>
    <w:rsid w:val="0048090A"/>
    <w:rsid w:val="0049341E"/>
    <w:rsid w:val="004D1694"/>
    <w:rsid w:val="004D5A12"/>
    <w:rsid w:val="004E71D9"/>
    <w:rsid w:val="0050289F"/>
    <w:rsid w:val="005144D0"/>
    <w:rsid w:val="0052295E"/>
    <w:rsid w:val="00550133"/>
    <w:rsid w:val="0055230D"/>
    <w:rsid w:val="005545C8"/>
    <w:rsid w:val="00557069"/>
    <w:rsid w:val="00575AC5"/>
    <w:rsid w:val="0057690C"/>
    <w:rsid w:val="00577096"/>
    <w:rsid w:val="005A1A61"/>
    <w:rsid w:val="005B558B"/>
    <w:rsid w:val="005C5BF9"/>
    <w:rsid w:val="005D3F26"/>
    <w:rsid w:val="005E4A61"/>
    <w:rsid w:val="0060151B"/>
    <w:rsid w:val="006021EC"/>
    <w:rsid w:val="00607AF7"/>
    <w:rsid w:val="006219B9"/>
    <w:rsid w:val="0062634D"/>
    <w:rsid w:val="00640B67"/>
    <w:rsid w:val="00651567"/>
    <w:rsid w:val="006546F4"/>
    <w:rsid w:val="0066092E"/>
    <w:rsid w:val="00680F7A"/>
    <w:rsid w:val="00697350"/>
    <w:rsid w:val="006A112F"/>
    <w:rsid w:val="006C4F21"/>
    <w:rsid w:val="006D02F7"/>
    <w:rsid w:val="006E45B7"/>
    <w:rsid w:val="006E7A1A"/>
    <w:rsid w:val="007249B2"/>
    <w:rsid w:val="00734A8A"/>
    <w:rsid w:val="007627A1"/>
    <w:rsid w:val="0076459B"/>
    <w:rsid w:val="00776986"/>
    <w:rsid w:val="00783A08"/>
    <w:rsid w:val="007A132A"/>
    <w:rsid w:val="007A375D"/>
    <w:rsid w:val="007A61A0"/>
    <w:rsid w:val="007B0761"/>
    <w:rsid w:val="007B4F9A"/>
    <w:rsid w:val="007B548C"/>
    <w:rsid w:val="007B65F4"/>
    <w:rsid w:val="007D1D2B"/>
    <w:rsid w:val="007D5A1D"/>
    <w:rsid w:val="007E38F7"/>
    <w:rsid w:val="007F0EE2"/>
    <w:rsid w:val="007F6762"/>
    <w:rsid w:val="008066B7"/>
    <w:rsid w:val="00816AEC"/>
    <w:rsid w:val="00823B32"/>
    <w:rsid w:val="0085209F"/>
    <w:rsid w:val="008563D1"/>
    <w:rsid w:val="00890779"/>
    <w:rsid w:val="008A4EFB"/>
    <w:rsid w:val="008C6076"/>
    <w:rsid w:val="008D757B"/>
    <w:rsid w:val="008E399D"/>
    <w:rsid w:val="008F39D5"/>
    <w:rsid w:val="00905397"/>
    <w:rsid w:val="00944AE2"/>
    <w:rsid w:val="00953916"/>
    <w:rsid w:val="00960215"/>
    <w:rsid w:val="0096611B"/>
    <w:rsid w:val="00966EA3"/>
    <w:rsid w:val="00981B86"/>
    <w:rsid w:val="0099058A"/>
    <w:rsid w:val="00995C9D"/>
    <w:rsid w:val="0099708C"/>
    <w:rsid w:val="009B39E4"/>
    <w:rsid w:val="009C2C9B"/>
    <w:rsid w:val="009C3DCD"/>
    <w:rsid w:val="009E20C7"/>
    <w:rsid w:val="009E3711"/>
    <w:rsid w:val="009E50DD"/>
    <w:rsid w:val="009E7A81"/>
    <w:rsid w:val="009F0254"/>
    <w:rsid w:val="009F18A4"/>
    <w:rsid w:val="00A07799"/>
    <w:rsid w:val="00A3510F"/>
    <w:rsid w:val="00A52885"/>
    <w:rsid w:val="00A60382"/>
    <w:rsid w:val="00A712DC"/>
    <w:rsid w:val="00A72DA9"/>
    <w:rsid w:val="00A77BF1"/>
    <w:rsid w:val="00A86C65"/>
    <w:rsid w:val="00A94999"/>
    <w:rsid w:val="00A96DEB"/>
    <w:rsid w:val="00AC573F"/>
    <w:rsid w:val="00B07829"/>
    <w:rsid w:val="00B115F4"/>
    <w:rsid w:val="00B4333E"/>
    <w:rsid w:val="00B5366F"/>
    <w:rsid w:val="00B80AAC"/>
    <w:rsid w:val="00B81D10"/>
    <w:rsid w:val="00B9604E"/>
    <w:rsid w:val="00BA3948"/>
    <w:rsid w:val="00BB3509"/>
    <w:rsid w:val="00BC73ED"/>
    <w:rsid w:val="00BE3E47"/>
    <w:rsid w:val="00BE7B81"/>
    <w:rsid w:val="00BF0A0B"/>
    <w:rsid w:val="00BF7CE7"/>
    <w:rsid w:val="00C0360F"/>
    <w:rsid w:val="00C236BC"/>
    <w:rsid w:val="00C3042C"/>
    <w:rsid w:val="00C35F72"/>
    <w:rsid w:val="00C37B42"/>
    <w:rsid w:val="00C430D2"/>
    <w:rsid w:val="00C4706B"/>
    <w:rsid w:val="00C53096"/>
    <w:rsid w:val="00C61925"/>
    <w:rsid w:val="00C94711"/>
    <w:rsid w:val="00CC1CE8"/>
    <w:rsid w:val="00CD4CE9"/>
    <w:rsid w:val="00D1253E"/>
    <w:rsid w:val="00D2484E"/>
    <w:rsid w:val="00DA0649"/>
    <w:rsid w:val="00DB4697"/>
    <w:rsid w:val="00DB67A4"/>
    <w:rsid w:val="00DC77E2"/>
    <w:rsid w:val="00DD261E"/>
    <w:rsid w:val="00DF1053"/>
    <w:rsid w:val="00DF1BEC"/>
    <w:rsid w:val="00E36604"/>
    <w:rsid w:val="00E662AA"/>
    <w:rsid w:val="00E769E8"/>
    <w:rsid w:val="00E80B36"/>
    <w:rsid w:val="00E9395C"/>
    <w:rsid w:val="00EA2124"/>
    <w:rsid w:val="00EC24BF"/>
    <w:rsid w:val="00ED7654"/>
    <w:rsid w:val="00EE1767"/>
    <w:rsid w:val="00EE750D"/>
    <w:rsid w:val="00F37401"/>
    <w:rsid w:val="00F40E9F"/>
    <w:rsid w:val="00F44882"/>
    <w:rsid w:val="00F73DAF"/>
    <w:rsid w:val="00F74193"/>
    <w:rsid w:val="00F9286C"/>
    <w:rsid w:val="00F94DB0"/>
    <w:rsid w:val="00FA48DF"/>
    <w:rsid w:val="00FF6A71"/>
    <w:rsid w:val="011C7510"/>
    <w:rsid w:val="01203B7B"/>
    <w:rsid w:val="0164389F"/>
    <w:rsid w:val="01A91303"/>
    <w:rsid w:val="02702503"/>
    <w:rsid w:val="02A24D01"/>
    <w:rsid w:val="02C869BD"/>
    <w:rsid w:val="03043C79"/>
    <w:rsid w:val="03501375"/>
    <w:rsid w:val="03C66C67"/>
    <w:rsid w:val="03EF2F13"/>
    <w:rsid w:val="044574BB"/>
    <w:rsid w:val="04901C24"/>
    <w:rsid w:val="049A1681"/>
    <w:rsid w:val="049B2501"/>
    <w:rsid w:val="05367E42"/>
    <w:rsid w:val="053B7F5A"/>
    <w:rsid w:val="05597FB8"/>
    <w:rsid w:val="056431B0"/>
    <w:rsid w:val="05AA65A3"/>
    <w:rsid w:val="05EF6226"/>
    <w:rsid w:val="06896D55"/>
    <w:rsid w:val="070475B0"/>
    <w:rsid w:val="07363888"/>
    <w:rsid w:val="07B46A9A"/>
    <w:rsid w:val="08073D7F"/>
    <w:rsid w:val="081C68BA"/>
    <w:rsid w:val="08440156"/>
    <w:rsid w:val="08667E28"/>
    <w:rsid w:val="097036B7"/>
    <w:rsid w:val="098E40FA"/>
    <w:rsid w:val="09BB7178"/>
    <w:rsid w:val="09C42EBE"/>
    <w:rsid w:val="09D22C37"/>
    <w:rsid w:val="0A6D098B"/>
    <w:rsid w:val="0A9F04F2"/>
    <w:rsid w:val="0B510549"/>
    <w:rsid w:val="0B8F5189"/>
    <w:rsid w:val="0BC1186B"/>
    <w:rsid w:val="0BC76CA8"/>
    <w:rsid w:val="0BD471D8"/>
    <w:rsid w:val="0BF0372C"/>
    <w:rsid w:val="0C6923B5"/>
    <w:rsid w:val="0D306BA6"/>
    <w:rsid w:val="0D750AB9"/>
    <w:rsid w:val="0DAD305E"/>
    <w:rsid w:val="0DE1052A"/>
    <w:rsid w:val="0ED91268"/>
    <w:rsid w:val="0F731D5C"/>
    <w:rsid w:val="0F85277C"/>
    <w:rsid w:val="0FE14093"/>
    <w:rsid w:val="108B799A"/>
    <w:rsid w:val="109A2368"/>
    <w:rsid w:val="10D32FB5"/>
    <w:rsid w:val="10E33850"/>
    <w:rsid w:val="11172B8B"/>
    <w:rsid w:val="112D4465"/>
    <w:rsid w:val="113455AC"/>
    <w:rsid w:val="11732CF8"/>
    <w:rsid w:val="11927236"/>
    <w:rsid w:val="11C93A14"/>
    <w:rsid w:val="11E3735B"/>
    <w:rsid w:val="1200040A"/>
    <w:rsid w:val="1253626C"/>
    <w:rsid w:val="129019AB"/>
    <w:rsid w:val="129156C6"/>
    <w:rsid w:val="12AF3DA1"/>
    <w:rsid w:val="137468AF"/>
    <w:rsid w:val="13B64E40"/>
    <w:rsid w:val="14562AEC"/>
    <w:rsid w:val="148624D4"/>
    <w:rsid w:val="14B40F39"/>
    <w:rsid w:val="14DE7EE4"/>
    <w:rsid w:val="1565744F"/>
    <w:rsid w:val="156A2B3B"/>
    <w:rsid w:val="162B4432"/>
    <w:rsid w:val="16692AEE"/>
    <w:rsid w:val="16875A17"/>
    <w:rsid w:val="1714755C"/>
    <w:rsid w:val="18BD28A9"/>
    <w:rsid w:val="18E71AAE"/>
    <w:rsid w:val="192B57A3"/>
    <w:rsid w:val="196C0A14"/>
    <w:rsid w:val="19861D6C"/>
    <w:rsid w:val="19C60ACE"/>
    <w:rsid w:val="1A1C6532"/>
    <w:rsid w:val="1ADE1913"/>
    <w:rsid w:val="1B9A76F1"/>
    <w:rsid w:val="1BD70DAF"/>
    <w:rsid w:val="1BFF2682"/>
    <w:rsid w:val="1CC033F2"/>
    <w:rsid w:val="1CD26A4D"/>
    <w:rsid w:val="1DB17A2D"/>
    <w:rsid w:val="1E2806DF"/>
    <w:rsid w:val="1E5E0998"/>
    <w:rsid w:val="1E7478D0"/>
    <w:rsid w:val="1EB01A4A"/>
    <w:rsid w:val="1F087275"/>
    <w:rsid w:val="1F3758D3"/>
    <w:rsid w:val="1F482D69"/>
    <w:rsid w:val="1F623D31"/>
    <w:rsid w:val="1F714F54"/>
    <w:rsid w:val="1FAA05ED"/>
    <w:rsid w:val="1FD96202"/>
    <w:rsid w:val="207E5D65"/>
    <w:rsid w:val="20FD6E6B"/>
    <w:rsid w:val="212B4285"/>
    <w:rsid w:val="21FB6497"/>
    <w:rsid w:val="21FC6955"/>
    <w:rsid w:val="22195245"/>
    <w:rsid w:val="22910F90"/>
    <w:rsid w:val="22BA1854"/>
    <w:rsid w:val="2377096A"/>
    <w:rsid w:val="24277B24"/>
    <w:rsid w:val="24AB1133"/>
    <w:rsid w:val="24B43E19"/>
    <w:rsid w:val="24CA3547"/>
    <w:rsid w:val="251F0A23"/>
    <w:rsid w:val="253B1B6C"/>
    <w:rsid w:val="25A237C3"/>
    <w:rsid w:val="2621668A"/>
    <w:rsid w:val="267802E1"/>
    <w:rsid w:val="26875CF1"/>
    <w:rsid w:val="269B1827"/>
    <w:rsid w:val="273F5699"/>
    <w:rsid w:val="27646058"/>
    <w:rsid w:val="278F7ACA"/>
    <w:rsid w:val="27EC0FFB"/>
    <w:rsid w:val="27F85C1B"/>
    <w:rsid w:val="28E636BA"/>
    <w:rsid w:val="28EE32E5"/>
    <w:rsid w:val="29A72651"/>
    <w:rsid w:val="29AB5281"/>
    <w:rsid w:val="29B31DC4"/>
    <w:rsid w:val="29B3771D"/>
    <w:rsid w:val="2AAB5BF7"/>
    <w:rsid w:val="2ABB1426"/>
    <w:rsid w:val="2AEE2513"/>
    <w:rsid w:val="2B445332"/>
    <w:rsid w:val="2B5A7475"/>
    <w:rsid w:val="2B906A3C"/>
    <w:rsid w:val="2BF94752"/>
    <w:rsid w:val="2C2C7BFF"/>
    <w:rsid w:val="2CED2AAC"/>
    <w:rsid w:val="2CFA16AD"/>
    <w:rsid w:val="2DDE7013"/>
    <w:rsid w:val="2E014D5C"/>
    <w:rsid w:val="2E655357"/>
    <w:rsid w:val="2E7160CE"/>
    <w:rsid w:val="2EB6519C"/>
    <w:rsid w:val="2EBD6C76"/>
    <w:rsid w:val="2ECC42E8"/>
    <w:rsid w:val="2F19162B"/>
    <w:rsid w:val="2F2D0D03"/>
    <w:rsid w:val="2F416226"/>
    <w:rsid w:val="2FCF28EB"/>
    <w:rsid w:val="30237DF2"/>
    <w:rsid w:val="30A338F5"/>
    <w:rsid w:val="30C20A83"/>
    <w:rsid w:val="30C66C2C"/>
    <w:rsid w:val="3104586A"/>
    <w:rsid w:val="3110661D"/>
    <w:rsid w:val="31120197"/>
    <w:rsid w:val="31CB52BF"/>
    <w:rsid w:val="31D23B45"/>
    <w:rsid w:val="330E4E68"/>
    <w:rsid w:val="34672138"/>
    <w:rsid w:val="34674E55"/>
    <w:rsid w:val="34695A3B"/>
    <w:rsid w:val="34B84750"/>
    <w:rsid w:val="34C9039B"/>
    <w:rsid w:val="34E500A4"/>
    <w:rsid w:val="35925979"/>
    <w:rsid w:val="35A2039E"/>
    <w:rsid w:val="36006DA1"/>
    <w:rsid w:val="36B75D2B"/>
    <w:rsid w:val="36E73E3B"/>
    <w:rsid w:val="36EE7874"/>
    <w:rsid w:val="37364169"/>
    <w:rsid w:val="37803FA4"/>
    <w:rsid w:val="37854EC6"/>
    <w:rsid w:val="37D06A4F"/>
    <w:rsid w:val="37FD4057"/>
    <w:rsid w:val="3805465D"/>
    <w:rsid w:val="38DC4154"/>
    <w:rsid w:val="39280644"/>
    <w:rsid w:val="3931223B"/>
    <w:rsid w:val="39346AA8"/>
    <w:rsid w:val="39F9375F"/>
    <w:rsid w:val="3A16148E"/>
    <w:rsid w:val="3A5F440C"/>
    <w:rsid w:val="3AE67668"/>
    <w:rsid w:val="3B603791"/>
    <w:rsid w:val="3B9C14F5"/>
    <w:rsid w:val="3BB006BB"/>
    <w:rsid w:val="3BBB148A"/>
    <w:rsid w:val="3C543C86"/>
    <w:rsid w:val="3D072A0F"/>
    <w:rsid w:val="3D1B6B3E"/>
    <w:rsid w:val="3D3E33E8"/>
    <w:rsid w:val="3D853DBD"/>
    <w:rsid w:val="3ECB5FE8"/>
    <w:rsid w:val="3F0D2B3C"/>
    <w:rsid w:val="3F414342"/>
    <w:rsid w:val="3F5571C6"/>
    <w:rsid w:val="40515E38"/>
    <w:rsid w:val="40834705"/>
    <w:rsid w:val="40E87F37"/>
    <w:rsid w:val="40FD25E6"/>
    <w:rsid w:val="415518B3"/>
    <w:rsid w:val="41C87B71"/>
    <w:rsid w:val="425F5DA2"/>
    <w:rsid w:val="43076265"/>
    <w:rsid w:val="445C3061"/>
    <w:rsid w:val="448A6570"/>
    <w:rsid w:val="44E74333"/>
    <w:rsid w:val="45891CC0"/>
    <w:rsid w:val="458A5067"/>
    <w:rsid w:val="45AB66DA"/>
    <w:rsid w:val="461C55A6"/>
    <w:rsid w:val="46280233"/>
    <w:rsid w:val="4666469A"/>
    <w:rsid w:val="46997DF6"/>
    <w:rsid w:val="46BF692A"/>
    <w:rsid w:val="46DD0874"/>
    <w:rsid w:val="46ED35F3"/>
    <w:rsid w:val="46ED5BB4"/>
    <w:rsid w:val="477C2C03"/>
    <w:rsid w:val="47A16424"/>
    <w:rsid w:val="47F53709"/>
    <w:rsid w:val="485A69E4"/>
    <w:rsid w:val="48761B73"/>
    <w:rsid w:val="49004590"/>
    <w:rsid w:val="4A041DB5"/>
    <w:rsid w:val="4A4A6796"/>
    <w:rsid w:val="4A596895"/>
    <w:rsid w:val="4A767EFA"/>
    <w:rsid w:val="4A863B31"/>
    <w:rsid w:val="4A912CCC"/>
    <w:rsid w:val="4A955292"/>
    <w:rsid w:val="4B1A2A21"/>
    <w:rsid w:val="4B513C72"/>
    <w:rsid w:val="4B557269"/>
    <w:rsid w:val="4B7E204C"/>
    <w:rsid w:val="4BDB1BE0"/>
    <w:rsid w:val="4CA6270B"/>
    <w:rsid w:val="4CCB706E"/>
    <w:rsid w:val="4CEE574C"/>
    <w:rsid w:val="4D1C6F1C"/>
    <w:rsid w:val="4D6B4B24"/>
    <w:rsid w:val="4D734A62"/>
    <w:rsid w:val="4DA7441C"/>
    <w:rsid w:val="4DB37CE9"/>
    <w:rsid w:val="4DC07AE6"/>
    <w:rsid w:val="4E0C7D4E"/>
    <w:rsid w:val="4E375ECD"/>
    <w:rsid w:val="4E376132"/>
    <w:rsid w:val="4EB92DCC"/>
    <w:rsid w:val="4F5C663B"/>
    <w:rsid w:val="4F8406D3"/>
    <w:rsid w:val="4F9E5264"/>
    <w:rsid w:val="4FCC7BC5"/>
    <w:rsid w:val="5000563B"/>
    <w:rsid w:val="511478CC"/>
    <w:rsid w:val="51176D67"/>
    <w:rsid w:val="51373AA3"/>
    <w:rsid w:val="51672890"/>
    <w:rsid w:val="517337D1"/>
    <w:rsid w:val="51C46495"/>
    <w:rsid w:val="51D23018"/>
    <w:rsid w:val="52326B23"/>
    <w:rsid w:val="524A0E15"/>
    <w:rsid w:val="526F5E72"/>
    <w:rsid w:val="52BC6998"/>
    <w:rsid w:val="52D3043C"/>
    <w:rsid w:val="52EF7812"/>
    <w:rsid w:val="52FF5076"/>
    <w:rsid w:val="53440781"/>
    <w:rsid w:val="543B33B6"/>
    <w:rsid w:val="54DC744A"/>
    <w:rsid w:val="55522903"/>
    <w:rsid w:val="55526147"/>
    <w:rsid w:val="55963DAA"/>
    <w:rsid w:val="55F638DF"/>
    <w:rsid w:val="560374C2"/>
    <w:rsid w:val="56473F50"/>
    <w:rsid w:val="56615610"/>
    <w:rsid w:val="56856C80"/>
    <w:rsid w:val="56C74FF3"/>
    <w:rsid w:val="575C6367"/>
    <w:rsid w:val="577400B8"/>
    <w:rsid w:val="582E63F4"/>
    <w:rsid w:val="58762B8B"/>
    <w:rsid w:val="58890172"/>
    <w:rsid w:val="58B76C67"/>
    <w:rsid w:val="58D1330F"/>
    <w:rsid w:val="59360856"/>
    <w:rsid w:val="59567BD7"/>
    <w:rsid w:val="596C034C"/>
    <w:rsid w:val="596C6356"/>
    <w:rsid w:val="59804C97"/>
    <w:rsid w:val="5A333DF4"/>
    <w:rsid w:val="5B307A4C"/>
    <w:rsid w:val="5B6B412D"/>
    <w:rsid w:val="5B8E7F7F"/>
    <w:rsid w:val="5C931DC5"/>
    <w:rsid w:val="5CBC4875"/>
    <w:rsid w:val="5D7C53F2"/>
    <w:rsid w:val="5E850077"/>
    <w:rsid w:val="5E8B5ED9"/>
    <w:rsid w:val="5EA22872"/>
    <w:rsid w:val="5F352DB8"/>
    <w:rsid w:val="5FAF1776"/>
    <w:rsid w:val="60082647"/>
    <w:rsid w:val="60942338"/>
    <w:rsid w:val="60996AFA"/>
    <w:rsid w:val="60B92FD5"/>
    <w:rsid w:val="613A7185"/>
    <w:rsid w:val="61C80BD8"/>
    <w:rsid w:val="620A2881"/>
    <w:rsid w:val="62501A2B"/>
    <w:rsid w:val="62594233"/>
    <w:rsid w:val="62674AAA"/>
    <w:rsid w:val="626C28BB"/>
    <w:rsid w:val="632C329E"/>
    <w:rsid w:val="633C61C3"/>
    <w:rsid w:val="64016012"/>
    <w:rsid w:val="643111BF"/>
    <w:rsid w:val="649D0661"/>
    <w:rsid w:val="64BC3B77"/>
    <w:rsid w:val="65773D91"/>
    <w:rsid w:val="66B137CA"/>
    <w:rsid w:val="66E7270E"/>
    <w:rsid w:val="66F72CC2"/>
    <w:rsid w:val="66F82E4E"/>
    <w:rsid w:val="67584A0C"/>
    <w:rsid w:val="678F4CCE"/>
    <w:rsid w:val="68333A82"/>
    <w:rsid w:val="68750461"/>
    <w:rsid w:val="6881700E"/>
    <w:rsid w:val="68C44538"/>
    <w:rsid w:val="68F03BBE"/>
    <w:rsid w:val="69736CAD"/>
    <w:rsid w:val="697A5ED9"/>
    <w:rsid w:val="697C3FE3"/>
    <w:rsid w:val="69D21373"/>
    <w:rsid w:val="6AAB236C"/>
    <w:rsid w:val="6B6351D0"/>
    <w:rsid w:val="6C066A9B"/>
    <w:rsid w:val="6C6F2DB1"/>
    <w:rsid w:val="6C8E62A6"/>
    <w:rsid w:val="6CB63BC3"/>
    <w:rsid w:val="6CD9768E"/>
    <w:rsid w:val="6DAE1AD4"/>
    <w:rsid w:val="6F1655A6"/>
    <w:rsid w:val="6F344FF6"/>
    <w:rsid w:val="6F9F3395"/>
    <w:rsid w:val="70242325"/>
    <w:rsid w:val="7041675B"/>
    <w:rsid w:val="708921CB"/>
    <w:rsid w:val="70AA3368"/>
    <w:rsid w:val="70C91F48"/>
    <w:rsid w:val="71457864"/>
    <w:rsid w:val="719309BF"/>
    <w:rsid w:val="723C0FC3"/>
    <w:rsid w:val="72D97F72"/>
    <w:rsid w:val="72FC2161"/>
    <w:rsid w:val="730148B5"/>
    <w:rsid w:val="7470106D"/>
    <w:rsid w:val="747A09F1"/>
    <w:rsid w:val="74E5095F"/>
    <w:rsid w:val="75DD0CCB"/>
    <w:rsid w:val="75F764C4"/>
    <w:rsid w:val="765F5770"/>
    <w:rsid w:val="76D317E9"/>
    <w:rsid w:val="77207610"/>
    <w:rsid w:val="77751A11"/>
    <w:rsid w:val="778647A4"/>
    <w:rsid w:val="77E97FC9"/>
    <w:rsid w:val="78541964"/>
    <w:rsid w:val="78AB40C7"/>
    <w:rsid w:val="78AF2483"/>
    <w:rsid w:val="78F93A7C"/>
    <w:rsid w:val="79EB17A6"/>
    <w:rsid w:val="7A0D1342"/>
    <w:rsid w:val="7AA225A1"/>
    <w:rsid w:val="7B871AD8"/>
    <w:rsid w:val="7C373FA6"/>
    <w:rsid w:val="7C9320B0"/>
    <w:rsid w:val="7D386547"/>
    <w:rsid w:val="7E5537EA"/>
    <w:rsid w:val="7E856D05"/>
    <w:rsid w:val="7F3021B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rFonts w:ascii="Calibri" w:hAnsi="Calibri" w:eastAsia="宋体"/>
      <w:b/>
      <w:bCs/>
      <w:kern w:val="44"/>
      <w:sz w:val="44"/>
      <w:szCs w:val="44"/>
    </w:rPr>
  </w:style>
  <w:style w:type="character" w:default="1" w:styleId="9">
    <w:name w:val="Default Paragraph Font"/>
    <w:semiHidden/>
    <w:uiPriority w:val="0"/>
  </w:style>
  <w:style w:type="table" w:default="1" w:styleId="8">
    <w:name w:val="Normal Table"/>
    <w:unhideWhenUsed/>
    <w:uiPriority w:val="99"/>
    <w:tblPr>
      <w:tblStyle w:val="8"/>
      <w:tblCellMar>
        <w:top w:w="0" w:type="dxa"/>
        <w:left w:w="108" w:type="dxa"/>
        <w:bottom w:w="0" w:type="dxa"/>
        <w:right w:w="108" w:type="dxa"/>
      </w:tblCellMar>
    </w:tblPr>
  </w:style>
  <w:style w:type="paragraph" w:styleId="3">
    <w:name w:val="Body Text"/>
    <w:basedOn w:val="1"/>
    <w:uiPriority w:val="0"/>
    <w:pPr>
      <w:spacing w:before="93" w:beforeLines="30"/>
    </w:pPr>
    <w:rPr>
      <w:rFonts w:ascii="仿宋_GB2312" w:eastAsia="仿宋_GB2312"/>
      <w:sz w:val="30"/>
    </w:r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0"/>
    <w:pPr>
      <w:spacing w:before="100" w:beforeAutospacing="1" w:after="100" w:afterAutospacing="1"/>
      <w:ind w:left="0" w:right="0"/>
      <w:jc w:val="left"/>
    </w:pPr>
    <w:rPr>
      <w:kern w:val="0"/>
      <w:sz w:val="24"/>
      <w:lang w:val="en-US" w:eastAsia="zh-CN" w:bidi="ar"/>
    </w:rPr>
  </w:style>
  <w:style w:type="character" w:styleId="10">
    <w:name w:val="page number"/>
    <w:basedOn w:val="9"/>
    <w:uiPriority w:val="0"/>
  </w:style>
  <w:style w:type="character" w:customStyle="1" w:styleId="11">
    <w:name w:val="font11"/>
    <w:basedOn w:val="9"/>
    <w:uiPriority w:val="0"/>
    <w:rPr>
      <w:rFonts w:hint="eastAsia" w:ascii="宋体" w:hAnsi="宋体" w:eastAsia="宋体" w:cs="宋体"/>
      <w:color w:val="000000"/>
      <w:sz w:val="20"/>
      <w:szCs w:val="20"/>
      <w:u w:val="none"/>
    </w:rPr>
  </w:style>
  <w:style w:type="character" w:customStyle="1" w:styleId="12">
    <w:name w:val="font01"/>
    <w:basedOn w:val="9"/>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598</Words>
  <Characters>3413</Characters>
  <Lines>28</Lines>
  <Paragraphs>8</Paragraphs>
  <TotalTime>208</TotalTime>
  <ScaleCrop>false</ScaleCrop>
  <LinksUpToDate>false</LinksUpToDate>
  <CharactersWithSpaces>4003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2013-05-09T09:41:00Z</dcterms:created>
  <dc:creator>赵树子</dc:creator>
  <cp:lastModifiedBy>Administrator</cp:lastModifiedBy>
  <cp:lastPrinted>2020-07-10T01:05:18Z</cp:lastPrinted>
  <dcterms:modified xsi:type="dcterms:W3CDTF">2020-08-31T07:44:26Z</dcterms:modified>
  <dc:title>四川省财政厅2011年部门预算编制说明</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