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spacing w:before="156" w:after="156"/>
      </w:pPr>
    </w:p>
    <w:p>
      <w:pPr>
        <w:pStyle w:val="18"/>
        <w:spacing w:before="156" w:after="156"/>
      </w:pPr>
    </w:p>
    <w:p>
      <w:pPr>
        <w:rPr>
          <w:rFonts w:ascii="仿宋_GB2312" w:hAnsi="Times New Roman" w:eastAsia="仿宋_GB2312" w:cs="Times New Roman"/>
          <w:sz w:val="32"/>
          <w:szCs w:val="32"/>
        </w:rPr>
      </w:pPr>
    </w:p>
    <w:p>
      <w:pPr>
        <w:spacing w:line="720" w:lineRule="exact"/>
        <w:jc w:val="center"/>
        <w:rPr>
          <w:rFonts w:hint="eastAsia" w:ascii="仿宋" w:hAnsi="仿宋" w:eastAsia="仿宋" w:cs="仿宋"/>
          <w:sz w:val="32"/>
          <w:szCs w:val="32"/>
        </w:rPr>
      </w:pPr>
      <w:r>
        <w:rPr>
          <w:rFonts w:hint="eastAsia" w:ascii="仿宋" w:hAnsi="仿宋" w:eastAsia="仿宋" w:cs="仿宋"/>
          <w:sz w:val="32"/>
          <w:szCs w:val="32"/>
        </w:rPr>
        <w:t>迪环审〔2020〕</w:t>
      </w:r>
      <w:r>
        <w:rPr>
          <w:rFonts w:hint="eastAsia" w:ascii="仿宋" w:hAnsi="仿宋" w:eastAsia="仿宋" w:cs="仿宋"/>
          <w:sz w:val="32"/>
          <w:szCs w:val="32"/>
          <w:lang w:val="en-US" w:eastAsia="zh-CN"/>
        </w:rPr>
        <w:t>15</w:t>
      </w:r>
      <w:r>
        <w:rPr>
          <w:rFonts w:hint="eastAsia" w:ascii="仿宋" w:hAnsi="仿宋" w:eastAsia="仿宋" w:cs="仿宋"/>
          <w:sz w:val="32"/>
          <w:szCs w:val="32"/>
        </w:rPr>
        <w:t>号</w:t>
      </w:r>
    </w:p>
    <w:p>
      <w:pPr>
        <w:rPr>
          <w:rFonts w:hint="eastAsia" w:ascii="仿宋" w:hAnsi="仿宋" w:eastAsia="仿宋" w:cs="仿宋"/>
          <w:sz w:val="32"/>
          <w:szCs w:val="32"/>
        </w:rPr>
      </w:pPr>
    </w:p>
    <w:p>
      <w:pPr>
        <w:spacing w:line="600" w:lineRule="exact"/>
        <w:jc w:val="center"/>
        <w:rPr>
          <w:rFonts w:hint="eastAsia" w:ascii="仿宋" w:hAnsi="仿宋" w:eastAsia="仿宋" w:cs="仿宋"/>
          <w:sz w:val="32"/>
          <w:szCs w:val="32"/>
        </w:rPr>
      </w:pPr>
    </w:p>
    <w:p>
      <w:pPr>
        <w:snapToGrid w:val="0"/>
        <w:jc w:val="center"/>
        <w:rPr>
          <w:rFonts w:hint="eastAsia" w:ascii="黑体" w:hAnsi="黑体" w:eastAsia="黑体" w:cs="黑体"/>
          <w:sz w:val="44"/>
          <w:szCs w:val="44"/>
        </w:rPr>
      </w:pPr>
      <w:r>
        <w:rPr>
          <w:rFonts w:hint="eastAsia" w:ascii="黑体" w:hAnsi="黑体" w:eastAsia="黑体" w:cs="黑体"/>
          <w:sz w:val="44"/>
          <w:szCs w:val="44"/>
        </w:rPr>
        <w:t>迪庆藏族自治州生态环境局关于</w:t>
      </w:r>
    </w:p>
    <w:p>
      <w:pPr>
        <w:snapToGrid w:val="0"/>
        <w:jc w:val="center"/>
        <w:rPr>
          <w:rFonts w:hint="eastAsia" w:ascii="黑体" w:hAnsi="黑体" w:eastAsia="黑体" w:cs="黑体"/>
          <w:sz w:val="44"/>
          <w:szCs w:val="44"/>
        </w:rPr>
      </w:pPr>
      <w:r>
        <w:rPr>
          <w:rFonts w:hint="eastAsia" w:ascii="黑体" w:hAnsi="黑体" w:eastAsia="黑体" w:cs="黑体"/>
          <w:sz w:val="44"/>
          <w:szCs w:val="44"/>
          <w:lang w:eastAsia="zh-CN"/>
        </w:rPr>
        <w:t>《</w:t>
      </w:r>
      <w:r>
        <w:rPr>
          <w:rFonts w:hint="eastAsia" w:ascii="黑体" w:hAnsi="黑体" w:eastAsia="黑体" w:cs="黑体"/>
          <w:sz w:val="44"/>
          <w:szCs w:val="44"/>
          <w:lang w:val="en-US" w:eastAsia="zh-CN"/>
        </w:rPr>
        <w:t>德钦县忠太水库工程</w:t>
      </w:r>
      <w:r>
        <w:rPr>
          <w:rFonts w:hint="eastAsia" w:ascii="黑体" w:hAnsi="黑体" w:eastAsia="黑体" w:cs="黑体"/>
          <w:sz w:val="44"/>
          <w:szCs w:val="44"/>
        </w:rPr>
        <w:t>环境影响报告</w:t>
      </w:r>
      <w:r>
        <w:rPr>
          <w:rFonts w:hint="eastAsia" w:ascii="黑体" w:hAnsi="黑体" w:eastAsia="黑体" w:cs="黑体"/>
          <w:sz w:val="44"/>
          <w:szCs w:val="44"/>
          <w:lang w:eastAsia="zh-CN"/>
        </w:rPr>
        <w:t>书》</w:t>
      </w:r>
      <w:r>
        <w:rPr>
          <w:rFonts w:hint="eastAsia" w:ascii="黑体" w:hAnsi="黑体" w:eastAsia="黑体" w:cs="黑体"/>
          <w:sz w:val="44"/>
          <w:szCs w:val="44"/>
        </w:rPr>
        <w:t>的批复</w:t>
      </w:r>
    </w:p>
    <w:p>
      <w:pPr>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德钦县水务局</w:t>
      </w:r>
      <w:r>
        <w:rPr>
          <w:rFonts w:hint="eastAsia" w:ascii="仿宋" w:hAnsi="仿宋" w:eastAsia="仿宋" w:cs="仿宋"/>
          <w:sz w:val="32"/>
          <w:szCs w:val="32"/>
          <w:lang w:eastAsia="zh-CN"/>
        </w:rPr>
        <w:t>：</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你单位报送的《关于审批</w:t>
      </w:r>
      <w:r>
        <w:rPr>
          <w:rFonts w:hint="eastAsia" w:ascii="仿宋" w:hAnsi="仿宋" w:eastAsia="仿宋" w:cs="仿宋"/>
          <w:sz w:val="32"/>
          <w:szCs w:val="32"/>
          <w:lang w:val="en-US" w:eastAsia="zh-CN"/>
        </w:rPr>
        <w:t>德钦县忠太水库工程</w:t>
      </w:r>
      <w:r>
        <w:rPr>
          <w:rFonts w:hint="eastAsia" w:ascii="仿宋" w:hAnsi="仿宋" w:eastAsia="仿宋" w:cs="仿宋"/>
          <w:sz w:val="32"/>
          <w:szCs w:val="32"/>
          <w:lang w:eastAsia="zh-CN"/>
        </w:rPr>
        <w:t>环境影响报告书的请示》（德水发〔20</w:t>
      </w:r>
      <w:r>
        <w:rPr>
          <w:rFonts w:hint="eastAsia" w:ascii="仿宋" w:hAnsi="仿宋" w:eastAsia="仿宋" w:cs="仿宋"/>
          <w:sz w:val="32"/>
          <w:szCs w:val="32"/>
          <w:lang w:val="en-US" w:eastAsia="zh-CN"/>
        </w:rPr>
        <w:t>19</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194号</w:t>
      </w:r>
      <w:r>
        <w:rPr>
          <w:rFonts w:hint="eastAsia" w:ascii="仿宋" w:hAnsi="仿宋" w:eastAsia="仿宋" w:cs="仿宋"/>
          <w:sz w:val="32"/>
          <w:szCs w:val="32"/>
          <w:lang w:eastAsia="zh-CN"/>
        </w:rPr>
        <w:t>）文件已收悉，经研究，现批复如下：</w:t>
      </w:r>
    </w:p>
    <w:p>
      <w:pPr>
        <w:pageBreakBefore w:val="0"/>
        <w:kinsoku/>
        <w:wordWrap/>
        <w:overflowPunct/>
        <w:topLinePunct w:val="0"/>
        <w:autoSpaceDN/>
        <w:bidi w:val="0"/>
        <w:snapToGrid w:val="0"/>
        <w:spacing w:line="560" w:lineRule="exact"/>
        <w:ind w:firstLine="640" w:firstLineChars="200"/>
        <w:rPr>
          <w:rFonts w:hint="eastAsia" w:ascii="仿宋" w:hAnsi="仿宋" w:eastAsia="仿宋" w:cs="仿宋"/>
          <w:b w:val="0"/>
          <w:kern w:val="2"/>
          <w:sz w:val="32"/>
          <w:szCs w:val="32"/>
          <w:lang w:val="en-US" w:eastAsia="zh-CN" w:bidi="ar-SA"/>
        </w:rPr>
      </w:pPr>
      <w:r>
        <w:rPr>
          <w:rFonts w:hint="eastAsia" w:ascii="仿宋" w:hAnsi="仿宋" w:eastAsia="仿宋" w:cs="仿宋"/>
          <w:b w:val="0"/>
          <w:color w:val="000000" w:themeColor="text1"/>
          <w:kern w:val="2"/>
          <w:sz w:val="32"/>
          <w:szCs w:val="32"/>
          <w:lang w:val="en-US" w:eastAsia="zh-CN" w:bidi="ar-SA"/>
          <w14:textFill>
            <w14:solidFill>
              <w14:schemeClr w14:val="tx1"/>
            </w14:solidFill>
          </w14:textFill>
        </w:rPr>
        <w:t>一、项目基本情况</w:t>
      </w:r>
      <w:r>
        <w:rPr>
          <w:rFonts w:hint="eastAsia" w:ascii="仿宋" w:hAnsi="仿宋" w:eastAsia="仿宋" w:cs="仿宋"/>
          <w:color w:val="000000" w:themeColor="text1"/>
          <w:sz w:val="32"/>
          <w:szCs w:val="32"/>
          <w:lang w:val="en-US" w:eastAsia="zh-CN"/>
          <w14:textFill>
            <w14:solidFill>
              <w14:schemeClr w14:val="tx1"/>
            </w14:solidFill>
          </w14:textFill>
        </w:rPr>
        <w:t>。项目位于德钦县羊拉乡茂顶村撒荣河上游，项目代码：2018-533422-76-01-037825。水库坝址位于东经99°5'2.32"，北纬28°36'30.96"，工程规模为小型，工程等别为Ⅳ等。水库总库容166.3万m³，兴利库容108.3万m³，正常蓄水位3162.28m，水库年供水量为430.4</w:t>
      </w:r>
      <w:r>
        <w:rPr>
          <w:rFonts w:hint="eastAsia" w:ascii="仿宋" w:hAnsi="仿宋" w:eastAsia="仿宋" w:cs="仿宋"/>
          <w:sz w:val="32"/>
          <w:szCs w:val="32"/>
          <w:lang w:val="en-US" w:eastAsia="zh-CN"/>
        </w:rPr>
        <w:t>万m³。枢纽工程主要建筑物由大坝、溢洪道及导流输水隧洞等组成，最大坝高64.4m，坝顶高程3166.40m；输水工程采用有压管道输水，由输水主管、左岸撒荣村输水管和右岸南仁格面村输水管及散荣、贡荣精准扶贫集中安置搬迁点输水管组成，总长为37.28km。工程总投资45018.46万元，其中环保投资1383.4万元，占总投资的3.07%。</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b w:val="0"/>
          <w:kern w:val="2"/>
          <w:sz w:val="32"/>
          <w:szCs w:val="32"/>
          <w:lang w:val="en-US" w:eastAsia="zh-CN" w:bidi="ar-SA"/>
        </w:rPr>
        <w:t>迪庆州发展和改革委员会以迪发</w:t>
      </w:r>
      <w:r>
        <w:rPr>
          <w:rFonts w:hint="eastAsia" w:ascii="仿宋" w:hAnsi="仿宋" w:eastAsia="仿宋" w:cs="仿宋"/>
          <w:sz w:val="32"/>
          <w:szCs w:val="32"/>
        </w:rPr>
        <w:t>改</w:t>
      </w:r>
      <w:r>
        <w:rPr>
          <w:rFonts w:hint="eastAsia" w:ascii="仿宋" w:hAnsi="仿宋" w:eastAsia="仿宋" w:cs="仿宋"/>
          <w:sz w:val="32"/>
          <w:szCs w:val="32"/>
          <w:lang w:eastAsia="zh-CN"/>
        </w:rPr>
        <w:t>农经</w:t>
      </w:r>
      <w:r>
        <w:rPr>
          <w:rFonts w:hint="eastAsia" w:ascii="仿宋" w:hAnsi="仿宋" w:eastAsia="仿宋" w:cs="仿宋"/>
          <w:sz w:val="32"/>
          <w:szCs w:val="32"/>
        </w:rPr>
        <w:t>〔20</w:t>
      </w:r>
      <w:r>
        <w:rPr>
          <w:rFonts w:hint="eastAsia" w:ascii="仿宋" w:hAnsi="仿宋" w:eastAsia="仿宋" w:cs="仿宋"/>
          <w:sz w:val="32"/>
          <w:szCs w:val="32"/>
          <w:lang w:val="en-US" w:eastAsia="zh-CN"/>
        </w:rPr>
        <w:t>17</w:t>
      </w:r>
      <w:r>
        <w:rPr>
          <w:rFonts w:hint="eastAsia" w:ascii="仿宋" w:hAnsi="仿宋" w:eastAsia="仿宋" w:cs="仿宋"/>
          <w:sz w:val="32"/>
          <w:szCs w:val="32"/>
        </w:rPr>
        <w:t>〕</w:t>
      </w:r>
      <w:r>
        <w:rPr>
          <w:rFonts w:hint="eastAsia" w:ascii="仿宋" w:hAnsi="仿宋" w:eastAsia="仿宋" w:cs="仿宋"/>
          <w:sz w:val="32"/>
          <w:szCs w:val="32"/>
          <w:lang w:val="en-US" w:eastAsia="zh-CN"/>
        </w:rPr>
        <w:t>27</w:t>
      </w:r>
      <w:r>
        <w:rPr>
          <w:rFonts w:hint="eastAsia" w:ascii="仿宋" w:hAnsi="仿宋" w:eastAsia="仿宋" w:cs="仿宋"/>
          <w:sz w:val="32"/>
          <w:szCs w:val="32"/>
        </w:rPr>
        <w:t>号文对项目可行性研究报告进行了批复。建设单位在认真落实《</w:t>
      </w:r>
      <w:r>
        <w:rPr>
          <w:rFonts w:hint="eastAsia" w:ascii="仿宋" w:hAnsi="仿宋" w:eastAsia="仿宋" w:cs="仿宋"/>
          <w:sz w:val="32"/>
          <w:szCs w:val="32"/>
          <w:lang w:eastAsia="zh-CN"/>
        </w:rPr>
        <w:t>报告书</w:t>
      </w:r>
      <w:r>
        <w:rPr>
          <w:rFonts w:hint="eastAsia" w:ascii="仿宋" w:hAnsi="仿宋" w:eastAsia="仿宋" w:cs="仿宋"/>
          <w:sz w:val="32"/>
          <w:szCs w:val="32"/>
        </w:rPr>
        <w:t>》提出的各项污染治理和生态保护措施前提下，我局同意你</w:t>
      </w:r>
      <w:r>
        <w:rPr>
          <w:rFonts w:hint="eastAsia" w:ascii="仿宋" w:hAnsi="仿宋" w:eastAsia="仿宋" w:cs="仿宋"/>
          <w:sz w:val="32"/>
          <w:szCs w:val="32"/>
          <w:lang w:eastAsia="zh-CN"/>
        </w:rPr>
        <w:t>单位</w:t>
      </w:r>
      <w:r>
        <w:rPr>
          <w:rFonts w:hint="eastAsia" w:ascii="仿宋" w:hAnsi="仿宋" w:eastAsia="仿宋" w:cs="仿宋"/>
          <w:sz w:val="32"/>
          <w:szCs w:val="32"/>
        </w:rPr>
        <w:t>按照《</w:t>
      </w:r>
      <w:r>
        <w:rPr>
          <w:rFonts w:hint="eastAsia" w:ascii="仿宋" w:hAnsi="仿宋" w:eastAsia="仿宋" w:cs="仿宋"/>
          <w:sz w:val="32"/>
          <w:szCs w:val="32"/>
          <w:lang w:eastAsia="zh-CN"/>
        </w:rPr>
        <w:t>报告书</w:t>
      </w:r>
      <w:r>
        <w:rPr>
          <w:rFonts w:hint="eastAsia" w:ascii="仿宋" w:hAnsi="仿宋" w:eastAsia="仿宋" w:cs="仿宋"/>
          <w:sz w:val="32"/>
          <w:szCs w:val="32"/>
        </w:rPr>
        <w:t>》中所列的项目性质、规模、地点、拟采取的环境保护措施及本批复的要求进行建设。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 二、项目建设的主要环境影响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（一）对生态环境的影响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项目建设施工和水库蓄水期间，</w:t>
      </w:r>
      <w:r>
        <w:rPr>
          <w:rFonts w:hint="eastAsia" w:ascii="仿宋" w:hAnsi="仿宋" w:eastAsia="仿宋" w:cs="仿宋"/>
          <w:color w:val="000000"/>
          <w:sz w:val="32"/>
          <w:szCs w:val="32"/>
        </w:rPr>
        <w:t>对地表植被造成一定的破坏，扰动水环境造成一定的影响</w:t>
      </w:r>
      <w:r>
        <w:rPr>
          <w:rFonts w:hint="eastAsia" w:ascii="仿宋" w:hAnsi="仿宋" w:eastAsia="仿宋" w:cs="仿宋"/>
          <w:color w:val="000000"/>
          <w:sz w:val="32"/>
          <w:szCs w:val="32"/>
          <w:lang w:val="en-US" w:eastAsia="zh-CN"/>
        </w:rPr>
        <w:t>,</w:t>
      </w:r>
      <w:r>
        <w:rPr>
          <w:rFonts w:hint="eastAsia" w:ascii="仿宋" w:hAnsi="仿宋" w:eastAsia="仿宋" w:cs="仿宋"/>
          <w:sz w:val="32"/>
          <w:szCs w:val="32"/>
        </w:rPr>
        <w:t>区域部分陆生动物的生存环境可能受到人为活动及水库</w:t>
      </w:r>
      <w:r>
        <w:rPr>
          <w:rFonts w:hint="eastAsia" w:ascii="仿宋" w:hAnsi="仿宋" w:eastAsia="仿宋" w:cs="仿宋"/>
          <w:sz w:val="32"/>
          <w:szCs w:val="32"/>
          <w:lang w:eastAsia="zh-CN"/>
        </w:rPr>
        <w:t>库区</w:t>
      </w:r>
      <w:r>
        <w:rPr>
          <w:rFonts w:hint="eastAsia" w:ascii="仿宋" w:hAnsi="仿宋" w:eastAsia="仿宋" w:cs="仿宋"/>
          <w:sz w:val="32"/>
          <w:szCs w:val="32"/>
        </w:rPr>
        <w:t>淹没的影响</w:t>
      </w:r>
      <w:r>
        <w:rPr>
          <w:rFonts w:hint="eastAsia" w:ascii="仿宋" w:hAnsi="仿宋" w:eastAsia="仿宋" w:cs="仿宋"/>
          <w:sz w:val="32"/>
          <w:szCs w:val="32"/>
          <w:lang w:eastAsia="zh-CN"/>
        </w:rPr>
        <w:t>。</w:t>
      </w:r>
      <w:r>
        <w:rPr>
          <w:rFonts w:hint="eastAsia" w:ascii="仿宋" w:hAnsi="仿宋" w:eastAsia="仿宋" w:cs="仿宋"/>
          <w:sz w:val="32"/>
          <w:szCs w:val="32"/>
        </w:rPr>
        <w:t>工程</w:t>
      </w:r>
      <w:r>
        <w:rPr>
          <w:rFonts w:hint="eastAsia" w:ascii="仿宋" w:hAnsi="仿宋" w:eastAsia="仿宋" w:cs="仿宋"/>
          <w:sz w:val="32"/>
          <w:szCs w:val="32"/>
          <w:lang w:eastAsia="zh-CN"/>
        </w:rPr>
        <w:t>建设期间和</w:t>
      </w:r>
      <w:r>
        <w:rPr>
          <w:rFonts w:hint="eastAsia" w:ascii="仿宋" w:hAnsi="仿宋" w:eastAsia="仿宋" w:cs="仿宋"/>
          <w:sz w:val="32"/>
          <w:szCs w:val="32"/>
        </w:rPr>
        <w:t>蓄水后，将淹没、占用和破坏部分陆生植被</w:t>
      </w:r>
      <w:r>
        <w:rPr>
          <w:rFonts w:hint="eastAsia" w:ascii="仿宋" w:hAnsi="仿宋" w:eastAsia="仿宋" w:cs="仿宋"/>
          <w:sz w:val="32"/>
          <w:szCs w:val="32"/>
          <w:lang w:eastAsia="zh-CN"/>
        </w:rPr>
        <w:t>，</w:t>
      </w:r>
      <w:r>
        <w:rPr>
          <w:rFonts w:hint="eastAsia" w:ascii="仿宋" w:hAnsi="仿宋" w:eastAsia="仿宋" w:cs="仿宋"/>
          <w:sz w:val="32"/>
          <w:szCs w:val="32"/>
        </w:rPr>
        <w:t>施工活动可能对陆生野生动物造成惊扰和伤害。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（二）对</w:t>
      </w:r>
      <w:r>
        <w:rPr>
          <w:rFonts w:hint="eastAsia" w:ascii="仿宋" w:hAnsi="仿宋" w:eastAsia="仿宋" w:cs="仿宋"/>
          <w:sz w:val="32"/>
          <w:szCs w:val="32"/>
        </w:rPr>
        <w:t>水环境</w:t>
      </w:r>
      <w:r>
        <w:rPr>
          <w:rFonts w:hint="eastAsia" w:ascii="仿宋" w:hAnsi="仿宋" w:eastAsia="仿宋" w:cs="仿宋"/>
          <w:sz w:val="32"/>
          <w:szCs w:val="32"/>
          <w:lang w:eastAsia="zh-CN"/>
        </w:rPr>
        <w:t>的</w:t>
      </w:r>
      <w:r>
        <w:rPr>
          <w:rFonts w:hint="eastAsia" w:ascii="仿宋" w:hAnsi="仿宋" w:eastAsia="仿宋" w:cs="仿宋"/>
          <w:sz w:val="32"/>
          <w:szCs w:val="32"/>
        </w:rPr>
        <w:t>影响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000000" w:themeColor="text1"/>
          <w:sz w:val="32"/>
          <w:szCs w:val="32"/>
          <w14:textFill>
            <w14:solidFill>
              <w14:schemeClr w14:val="tx1"/>
            </w14:solidFill>
          </w14:textFill>
        </w:rPr>
        <w:t>水库</w:t>
      </w:r>
      <w:r>
        <w:rPr>
          <w:rFonts w:hint="eastAsia" w:ascii="仿宋" w:hAnsi="仿宋" w:eastAsia="仿宋" w:cs="仿宋"/>
          <w:color w:val="000000" w:themeColor="text1"/>
          <w:sz w:val="32"/>
          <w:szCs w:val="32"/>
          <w:lang w:eastAsia="zh-CN"/>
          <w14:textFill>
            <w14:solidFill>
              <w14:schemeClr w14:val="tx1"/>
            </w14:solidFill>
          </w14:textFill>
        </w:rPr>
        <w:t>的建成</w:t>
      </w:r>
      <w:r>
        <w:rPr>
          <w:rFonts w:hint="eastAsia" w:ascii="仿宋" w:hAnsi="仿宋" w:eastAsia="仿宋" w:cs="仿宋"/>
          <w:color w:val="000000" w:themeColor="text1"/>
          <w:sz w:val="32"/>
          <w:szCs w:val="32"/>
          <w14:textFill>
            <w14:solidFill>
              <w14:schemeClr w14:val="tx1"/>
            </w14:solidFill>
          </w14:textFill>
        </w:rPr>
        <w:t>运行将改变坝下河段的水文情势，将使坝下</w:t>
      </w:r>
      <w:r>
        <w:rPr>
          <w:rFonts w:hint="eastAsia" w:ascii="仿宋" w:hAnsi="仿宋" w:eastAsia="仿宋" w:cs="仿宋"/>
          <w:color w:val="000000" w:themeColor="text1"/>
          <w:sz w:val="32"/>
          <w:szCs w:val="32"/>
          <w:lang w:eastAsia="zh-CN"/>
          <w14:textFill>
            <w14:solidFill>
              <w14:schemeClr w14:val="tx1"/>
            </w14:solidFill>
          </w14:textFill>
        </w:rPr>
        <w:t>河道区域</w:t>
      </w:r>
      <w:r>
        <w:rPr>
          <w:rFonts w:hint="eastAsia" w:ascii="仿宋" w:hAnsi="仿宋" w:eastAsia="仿宋" w:cs="仿宋"/>
          <w:color w:val="000000" w:themeColor="text1"/>
          <w:sz w:val="32"/>
          <w:szCs w:val="32"/>
          <w14:textFill>
            <w14:solidFill>
              <w14:schemeClr w14:val="tx1"/>
            </w14:solidFill>
          </w14:textFill>
        </w:rPr>
        <w:t>生境变得不稳定</w:t>
      </w:r>
      <w:r>
        <w:rPr>
          <w:rFonts w:hint="eastAsia" w:ascii="仿宋" w:hAnsi="仿宋" w:eastAsia="仿宋" w:cs="仿宋"/>
          <w:color w:val="000000" w:themeColor="text1"/>
          <w:sz w:val="32"/>
          <w:szCs w:val="32"/>
          <w:lang w:eastAsia="zh-CN"/>
          <w14:textFill>
            <w14:solidFill>
              <w14:schemeClr w14:val="tx1"/>
            </w14:solidFill>
          </w14:textFill>
        </w:rPr>
        <w:t>和</w:t>
      </w:r>
      <w:r>
        <w:rPr>
          <w:rFonts w:hint="eastAsia" w:ascii="仿宋" w:hAnsi="仿宋" w:eastAsia="仿宋" w:cs="仿宋"/>
          <w:color w:val="000000" w:themeColor="text1"/>
          <w:sz w:val="32"/>
          <w:szCs w:val="32"/>
          <w14:textFill>
            <w14:solidFill>
              <w14:schemeClr w14:val="tx1"/>
            </w14:solidFill>
          </w14:textFill>
        </w:rPr>
        <w:t>下泄流量减少等将对坝下</w:t>
      </w:r>
      <w:r>
        <w:rPr>
          <w:rFonts w:hint="eastAsia" w:ascii="仿宋" w:hAnsi="仿宋" w:eastAsia="仿宋" w:cs="仿宋"/>
          <w:color w:val="000000" w:themeColor="text1"/>
          <w:sz w:val="32"/>
          <w:szCs w:val="32"/>
          <w:lang w:eastAsia="zh-CN"/>
          <w14:textFill>
            <w14:solidFill>
              <w14:schemeClr w14:val="tx1"/>
            </w14:solidFill>
          </w14:textFill>
        </w:rPr>
        <w:t>生物廊道和生态系统完整性将</w:t>
      </w:r>
      <w:r>
        <w:rPr>
          <w:rFonts w:hint="eastAsia" w:ascii="仿宋" w:hAnsi="仿宋" w:eastAsia="仿宋" w:cs="仿宋"/>
          <w:color w:val="000000" w:themeColor="text1"/>
          <w:sz w:val="32"/>
          <w:szCs w:val="32"/>
          <w14:textFill>
            <w14:solidFill>
              <w14:schemeClr w14:val="tx1"/>
            </w14:solidFill>
          </w14:textFill>
        </w:rPr>
        <w:t>产生不利影响。</w:t>
      </w:r>
      <w:r>
        <w:rPr>
          <w:rFonts w:hint="eastAsia" w:ascii="仿宋" w:hAnsi="仿宋" w:eastAsia="仿宋" w:cs="仿宋"/>
          <w:sz w:val="32"/>
          <w:szCs w:val="32"/>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其他影响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项目施工期产生</w:t>
      </w:r>
      <w:r>
        <w:rPr>
          <w:rFonts w:hint="eastAsia" w:ascii="仿宋" w:hAnsi="仿宋" w:eastAsia="仿宋" w:cs="仿宋"/>
          <w:sz w:val="32"/>
          <w:szCs w:val="32"/>
          <w:lang w:eastAsia="zh-CN"/>
        </w:rPr>
        <w:t>的</w:t>
      </w:r>
      <w:r>
        <w:rPr>
          <w:rFonts w:hint="eastAsia" w:ascii="仿宋" w:hAnsi="仿宋" w:eastAsia="仿宋" w:cs="仿宋"/>
          <w:sz w:val="32"/>
          <w:szCs w:val="32"/>
        </w:rPr>
        <w:t>污（废）水、扬尘、噪声、固体废物等</w:t>
      </w:r>
      <w:r>
        <w:rPr>
          <w:rFonts w:hint="eastAsia" w:ascii="仿宋" w:hAnsi="仿宋" w:eastAsia="仿宋" w:cs="仿宋"/>
          <w:sz w:val="32"/>
          <w:szCs w:val="32"/>
          <w:lang w:eastAsia="zh-CN"/>
        </w:rPr>
        <w:t>污染物</w:t>
      </w:r>
      <w:r>
        <w:rPr>
          <w:rFonts w:hint="eastAsia" w:ascii="仿宋" w:hAnsi="仿宋" w:eastAsia="仿宋" w:cs="仿宋"/>
          <w:sz w:val="32"/>
          <w:szCs w:val="32"/>
        </w:rPr>
        <w:t>，将对敏感点及周边生态环境造成不利影响。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三、减缓生态环境影响的主要措施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（一）严格落实</w:t>
      </w:r>
      <w:r>
        <w:rPr>
          <w:rFonts w:hint="eastAsia" w:ascii="仿宋" w:hAnsi="仿宋" w:eastAsia="仿宋" w:cs="仿宋"/>
          <w:sz w:val="32"/>
          <w:szCs w:val="32"/>
        </w:rPr>
        <w:t>敏感区保护措施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划定施工人员的活动区域，严禁超范围施工；禁止夜间施工，减少噪声对</w:t>
      </w:r>
      <w:r>
        <w:rPr>
          <w:rFonts w:hint="eastAsia" w:ascii="仿宋" w:hAnsi="仿宋" w:eastAsia="仿宋" w:cs="仿宋"/>
          <w:sz w:val="32"/>
          <w:szCs w:val="32"/>
          <w:lang w:eastAsia="zh-CN"/>
        </w:rPr>
        <w:t>滇金丝猴为主的</w:t>
      </w:r>
      <w:r>
        <w:rPr>
          <w:rFonts w:hint="eastAsia" w:ascii="仿宋" w:hAnsi="仿宋" w:eastAsia="仿宋" w:cs="仿宋"/>
          <w:sz w:val="32"/>
          <w:szCs w:val="32"/>
        </w:rPr>
        <w:t>野生动物的影响，同时尽量缩短施工工期，减少对</w:t>
      </w:r>
      <w:r>
        <w:rPr>
          <w:rFonts w:hint="eastAsia" w:ascii="仿宋" w:hAnsi="仿宋" w:eastAsia="仿宋" w:cs="仿宋"/>
          <w:sz w:val="32"/>
          <w:szCs w:val="32"/>
          <w:lang w:eastAsia="zh-CN"/>
        </w:rPr>
        <w:t>生态环境</w:t>
      </w:r>
      <w:r>
        <w:rPr>
          <w:rFonts w:hint="eastAsia" w:ascii="仿宋" w:hAnsi="仿宋" w:eastAsia="仿宋" w:cs="仿宋"/>
          <w:sz w:val="32"/>
          <w:szCs w:val="32"/>
        </w:rPr>
        <w:t>的影响；施工产生的生活垃圾及时清运出场地</w:t>
      </w:r>
      <w:r>
        <w:rPr>
          <w:rFonts w:hint="eastAsia" w:ascii="仿宋" w:hAnsi="仿宋" w:eastAsia="仿宋" w:cs="仿宋"/>
          <w:sz w:val="32"/>
          <w:szCs w:val="32"/>
          <w:lang w:eastAsia="zh-CN"/>
        </w:rPr>
        <w:t>规范处置</w:t>
      </w:r>
      <w:r>
        <w:rPr>
          <w:rFonts w:hint="eastAsia" w:ascii="仿宋" w:hAnsi="仿宋" w:eastAsia="仿宋" w:cs="仿宋"/>
          <w:sz w:val="32"/>
          <w:szCs w:val="32"/>
        </w:rPr>
        <w:t>，禁止在</w:t>
      </w:r>
      <w:r>
        <w:rPr>
          <w:rFonts w:hint="eastAsia" w:ascii="仿宋" w:hAnsi="仿宋" w:eastAsia="仿宋" w:cs="仿宋"/>
          <w:sz w:val="32"/>
          <w:szCs w:val="32"/>
          <w:lang w:eastAsia="zh-CN"/>
        </w:rPr>
        <w:t>施工区</w:t>
      </w:r>
      <w:r>
        <w:rPr>
          <w:rFonts w:hint="eastAsia" w:ascii="仿宋" w:hAnsi="仿宋" w:eastAsia="仿宋" w:cs="仿宋"/>
          <w:sz w:val="32"/>
          <w:szCs w:val="32"/>
        </w:rPr>
        <w:t>内乱弃；施工结束后及时对临时占地进行恢复。</w:t>
      </w:r>
      <w:r>
        <w:rPr>
          <w:rFonts w:hint="eastAsia" w:ascii="仿宋" w:hAnsi="仿宋" w:eastAsia="仿宋" w:cs="仿宋"/>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（二）严格落实</w:t>
      </w:r>
      <w:r>
        <w:rPr>
          <w:rFonts w:hint="eastAsia" w:ascii="仿宋" w:hAnsi="仿宋" w:eastAsia="仿宋" w:cs="仿宋"/>
          <w:sz w:val="32"/>
          <w:szCs w:val="32"/>
        </w:rPr>
        <w:t>生态环境保护措施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优化施工组织设计，</w:t>
      </w:r>
      <w:r>
        <w:rPr>
          <w:rFonts w:hint="eastAsia" w:ascii="仿宋" w:hAnsi="仿宋" w:eastAsia="仿宋" w:cs="仿宋"/>
          <w:color w:val="000000"/>
          <w:sz w:val="32"/>
          <w:szCs w:val="32"/>
          <w:lang w:eastAsia="zh-CN"/>
        </w:rPr>
        <w:t>合理安排管道线路，</w:t>
      </w:r>
      <w:r>
        <w:rPr>
          <w:rFonts w:hint="eastAsia" w:ascii="仿宋" w:hAnsi="仿宋" w:eastAsia="仿宋" w:cs="仿宋"/>
          <w:sz w:val="32"/>
          <w:szCs w:val="32"/>
        </w:rPr>
        <w:t>减少征占地，减少对植被、景观的破坏；严禁猎捕和食用野生动物；严格按照划定范围施工，禁止滥砍滥伐；</w:t>
      </w:r>
      <w:r>
        <w:rPr>
          <w:rFonts w:hint="eastAsia" w:ascii="仿宋" w:hAnsi="仿宋" w:eastAsia="仿宋" w:cs="仿宋"/>
          <w:sz w:val="32"/>
          <w:szCs w:val="32"/>
          <w:lang w:eastAsia="zh-CN"/>
        </w:rPr>
        <w:t>严禁野外用火，合理利用好护林员，</w:t>
      </w:r>
      <w:r>
        <w:rPr>
          <w:rFonts w:hint="eastAsia" w:ascii="仿宋" w:hAnsi="仿宋" w:eastAsia="仿宋" w:cs="仿宋"/>
          <w:sz w:val="32"/>
          <w:szCs w:val="32"/>
        </w:rPr>
        <w:t>制定合理的施工作业</w:t>
      </w:r>
      <w:r>
        <w:rPr>
          <w:rFonts w:hint="eastAsia" w:ascii="仿宋" w:hAnsi="仿宋" w:eastAsia="仿宋" w:cs="仿宋"/>
          <w:sz w:val="32"/>
          <w:szCs w:val="32"/>
          <w:lang w:eastAsia="zh-CN"/>
        </w:rPr>
        <w:t>方式</w:t>
      </w:r>
      <w:r>
        <w:rPr>
          <w:rFonts w:hint="eastAsia" w:ascii="仿宋" w:hAnsi="仿宋" w:eastAsia="仿宋" w:cs="仿宋"/>
          <w:sz w:val="32"/>
          <w:szCs w:val="32"/>
        </w:rPr>
        <w:t>，尽可能避免施工对野生动物的惊扰。对于永久性占用的林地，应根据有关规定采取异地补偿的方法恢复，对临时占地及时进行恢复。运行期在库区四周设置网状围栏，防止野生动物落水；库区设置监控设施，与库区管理用房联网，实时监控库区野生动物活动情况，发现野生动物落水及时营救，同时配备野生动物落水营救设施、设备</w:t>
      </w:r>
      <w:r>
        <w:rPr>
          <w:rFonts w:hint="eastAsia" w:ascii="仿宋" w:hAnsi="仿宋" w:eastAsia="仿宋" w:cs="仿宋"/>
          <w:sz w:val="32"/>
          <w:szCs w:val="32"/>
          <w:lang w:eastAsia="zh-CN"/>
        </w:rPr>
        <w:t>，同时必须保障野生动物廊道畅通，确保野生动物正常自由活动。</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严格落实生态流量下泄措施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FF"/>
          <w:sz w:val="32"/>
          <w:szCs w:val="32"/>
        </w:rPr>
      </w:pPr>
      <w:r>
        <w:rPr>
          <w:rFonts w:hint="eastAsia" w:ascii="仿宋" w:hAnsi="仿宋" w:eastAsia="仿宋" w:cs="仿宋"/>
          <w:sz w:val="32"/>
          <w:szCs w:val="32"/>
        </w:rPr>
        <w:t>优化工程蓄水和运行调度方案，结合上游来水量及下游生态需求调整实际下闸蓄水时间，</w:t>
      </w:r>
      <w:r>
        <w:rPr>
          <w:rFonts w:hint="eastAsia" w:ascii="仿宋" w:hAnsi="仿宋" w:eastAsia="仿宋" w:cs="仿宋"/>
          <w:sz w:val="32"/>
          <w:szCs w:val="32"/>
          <w:lang w:eastAsia="zh-CN"/>
        </w:rPr>
        <w:t>合理安排生态用水量，</w:t>
      </w:r>
      <w:r>
        <w:rPr>
          <w:rFonts w:hint="eastAsia" w:ascii="仿宋" w:hAnsi="仿宋" w:eastAsia="仿宋" w:cs="仿宋"/>
          <w:sz w:val="32"/>
          <w:szCs w:val="32"/>
        </w:rPr>
        <w:t>保证下游生态流量</w:t>
      </w:r>
      <w:r>
        <w:rPr>
          <w:rFonts w:hint="eastAsia" w:ascii="仿宋" w:hAnsi="仿宋" w:eastAsia="仿宋" w:cs="仿宋"/>
          <w:sz w:val="32"/>
          <w:szCs w:val="32"/>
          <w:lang w:eastAsia="zh-CN"/>
        </w:rPr>
        <w:t>，</w:t>
      </w:r>
      <w:r>
        <w:rPr>
          <w:rFonts w:hint="eastAsia" w:ascii="仿宋" w:hAnsi="仿宋" w:eastAsia="仿宋" w:cs="仿宋"/>
          <w:sz w:val="32"/>
          <w:szCs w:val="32"/>
        </w:rPr>
        <w:t>同步建设生态流量在线监测系统</w:t>
      </w:r>
      <w:r>
        <w:rPr>
          <w:rFonts w:hint="eastAsia" w:ascii="仿宋" w:hAnsi="仿宋" w:eastAsia="仿宋" w:cs="仿宋"/>
          <w:sz w:val="32"/>
          <w:szCs w:val="32"/>
          <w:lang w:eastAsia="zh-CN"/>
        </w:rPr>
        <w:t>，确保下游生态环境用水。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w:t>
      </w:r>
      <w:r>
        <w:rPr>
          <w:rFonts w:hint="eastAsia" w:ascii="仿宋" w:hAnsi="仿宋" w:eastAsia="仿宋" w:cs="仿宋"/>
          <w:sz w:val="32"/>
          <w:szCs w:val="32"/>
          <w:lang w:eastAsia="zh-CN"/>
        </w:rPr>
        <w:t>四</w:t>
      </w:r>
      <w:r>
        <w:rPr>
          <w:rFonts w:hint="eastAsia" w:ascii="仿宋" w:hAnsi="仿宋" w:eastAsia="仿宋" w:cs="仿宋"/>
          <w:sz w:val="32"/>
          <w:szCs w:val="32"/>
        </w:rPr>
        <w:t>）严格落实水环境保护措施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按有关规定开展水库蓄水前的清库工作，加强径流区水源涵养林营造和保护，禁止在径流区开展污染水体水质的活动，加强库区水质保护，划定饮用水源地保护区，加强水源地标准化建设，确保库区水质安全。施工废水</w:t>
      </w:r>
      <w:r>
        <w:rPr>
          <w:rFonts w:hint="eastAsia" w:ascii="仿宋" w:hAnsi="仿宋" w:eastAsia="仿宋" w:cs="仿宋"/>
          <w:sz w:val="32"/>
          <w:szCs w:val="32"/>
        </w:rPr>
        <w:t>经沉淀处理后回用，不外排；</w:t>
      </w:r>
      <w:r>
        <w:rPr>
          <w:rFonts w:hint="eastAsia" w:ascii="仿宋" w:hAnsi="仿宋" w:eastAsia="仿宋" w:cs="仿宋"/>
          <w:sz w:val="32"/>
          <w:szCs w:val="32"/>
          <w:lang w:eastAsia="zh-CN"/>
        </w:rPr>
        <w:t>运</w:t>
      </w:r>
      <w:r>
        <w:rPr>
          <w:rFonts w:hint="eastAsia" w:ascii="仿宋" w:hAnsi="仿宋" w:eastAsia="仿宋" w:cs="仿宋"/>
          <w:sz w:val="32"/>
          <w:szCs w:val="32"/>
          <w:lang w:val="en-US" w:eastAsia="zh-CN"/>
        </w:rPr>
        <w:t>行期生活污水经沉淀处理后达标排放。按照《突发环境事件应急预案管理暂行办法》的要求，制定环境污染风险防范应急预案，并报迪庆州生态环境局德钦分局备案，建立完善应急报告制度，落实应急物资和经费。同时凡是可能对水库水源涵养林、水库水质等造成破坏和污染的行为，应严格制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（五）</w:t>
      </w:r>
      <w:r>
        <w:rPr>
          <w:rFonts w:hint="eastAsia" w:ascii="仿宋" w:hAnsi="仿宋" w:eastAsia="仿宋" w:cs="仿宋"/>
          <w:sz w:val="32"/>
          <w:szCs w:val="32"/>
        </w:rPr>
        <w:t>环境空气保护措施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施工区域进行</w:t>
      </w:r>
      <w:r>
        <w:rPr>
          <w:rFonts w:hint="eastAsia" w:ascii="仿宋" w:hAnsi="仿宋" w:eastAsia="仿宋" w:cs="仿宋"/>
          <w:sz w:val="32"/>
          <w:szCs w:val="32"/>
        </w:rPr>
        <w:t>洒水降尘</w:t>
      </w:r>
      <w:r>
        <w:rPr>
          <w:rFonts w:hint="eastAsia" w:ascii="仿宋" w:hAnsi="仿宋" w:eastAsia="仿宋" w:cs="仿宋"/>
          <w:sz w:val="32"/>
          <w:szCs w:val="32"/>
          <w:lang w:eastAsia="zh-CN"/>
        </w:rPr>
        <w:t>，</w:t>
      </w:r>
      <w:r>
        <w:rPr>
          <w:rFonts w:hint="eastAsia" w:ascii="仿宋" w:hAnsi="仿宋" w:eastAsia="仿宋" w:cs="仿宋"/>
          <w:sz w:val="32"/>
          <w:szCs w:val="32"/>
        </w:rPr>
        <w:t>砂石料加工场地采取彩钢瓦封闭措施</w:t>
      </w:r>
      <w:r>
        <w:rPr>
          <w:rFonts w:hint="eastAsia" w:ascii="仿宋" w:hAnsi="仿宋" w:eastAsia="仿宋" w:cs="仿宋"/>
          <w:sz w:val="32"/>
          <w:szCs w:val="32"/>
          <w:lang w:eastAsia="zh-CN"/>
        </w:rPr>
        <w:t>，</w:t>
      </w:r>
      <w:r>
        <w:rPr>
          <w:rFonts w:hint="eastAsia" w:ascii="仿宋" w:hAnsi="仿宋" w:eastAsia="仿宋" w:cs="仿宋"/>
          <w:sz w:val="32"/>
          <w:szCs w:val="32"/>
        </w:rPr>
        <w:t>运输车辆采用封闭运输、限速</w:t>
      </w:r>
      <w:r>
        <w:rPr>
          <w:rFonts w:hint="eastAsia" w:ascii="仿宋" w:hAnsi="仿宋" w:eastAsia="仿宋" w:cs="仿宋"/>
          <w:sz w:val="32"/>
          <w:szCs w:val="32"/>
          <w:lang w:eastAsia="zh-CN"/>
        </w:rPr>
        <w:t>，</w:t>
      </w:r>
      <w:r>
        <w:rPr>
          <w:rFonts w:hint="eastAsia" w:ascii="仿宋" w:hAnsi="仿宋" w:eastAsia="仿宋" w:cs="仿宋"/>
          <w:sz w:val="32"/>
          <w:szCs w:val="32"/>
        </w:rPr>
        <w:t>石料、风化料及土料容易起尘建筑材料不在项目区内长时间堆放，临时堆存采用土工布遮盖</w:t>
      </w:r>
      <w:r>
        <w:rPr>
          <w:rFonts w:hint="eastAsia" w:ascii="仿宋" w:hAnsi="仿宋" w:eastAsia="仿宋" w:cs="仿宋"/>
          <w:sz w:val="32"/>
          <w:szCs w:val="32"/>
          <w:lang w:eastAsia="zh-CN"/>
        </w:rPr>
        <w:t>，管理用房厨房安装抽油烟机。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（六）</w:t>
      </w:r>
      <w:r>
        <w:rPr>
          <w:rFonts w:hint="eastAsia" w:ascii="仿宋" w:hAnsi="仿宋" w:eastAsia="仿宋" w:cs="仿宋"/>
          <w:sz w:val="32"/>
          <w:szCs w:val="32"/>
        </w:rPr>
        <w:t>声环境保护措施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选用低噪声的施工机械或工艺，改进施工现场施工工艺</w:t>
      </w:r>
      <w:r>
        <w:rPr>
          <w:rFonts w:hint="eastAsia" w:ascii="仿宋" w:hAnsi="仿宋" w:eastAsia="仿宋" w:cs="仿宋"/>
          <w:sz w:val="32"/>
          <w:szCs w:val="32"/>
          <w:lang w:eastAsia="zh-CN"/>
        </w:rPr>
        <w:t>，设置禁止鸣笛、环境保护宣传等各种标示标牌，加强环境教育，提高公众环境意识，同时</w:t>
      </w:r>
      <w:r>
        <w:rPr>
          <w:rFonts w:hint="eastAsia" w:ascii="仿宋" w:hAnsi="仿宋" w:eastAsia="仿宋" w:cs="仿宋"/>
          <w:sz w:val="32"/>
          <w:szCs w:val="32"/>
        </w:rPr>
        <w:t>加强对机械设备的维修和保养</w:t>
      </w:r>
      <w:r>
        <w:rPr>
          <w:rFonts w:hint="eastAsia" w:ascii="仿宋" w:hAnsi="仿宋" w:eastAsia="仿宋" w:cs="仿宋"/>
          <w:sz w:val="32"/>
          <w:szCs w:val="32"/>
          <w:lang w:eastAsia="zh-CN"/>
        </w:rPr>
        <w:t>，</w:t>
      </w:r>
      <w:r>
        <w:rPr>
          <w:rFonts w:hint="eastAsia" w:ascii="仿宋" w:hAnsi="仿宋" w:eastAsia="仿宋" w:cs="仿宋"/>
          <w:sz w:val="32"/>
          <w:szCs w:val="32"/>
        </w:rPr>
        <w:t>加强施工运输的管理</w:t>
      </w:r>
      <w:r>
        <w:rPr>
          <w:rFonts w:hint="eastAsia" w:ascii="仿宋" w:hAnsi="仿宋" w:eastAsia="仿宋" w:cs="仿宋"/>
          <w:sz w:val="32"/>
          <w:szCs w:val="32"/>
          <w:lang w:eastAsia="zh-CN"/>
        </w:rPr>
        <w:t>，尽可能不使用或少用炸药，确需使用则科学爆破，</w:t>
      </w:r>
      <w:r>
        <w:rPr>
          <w:rFonts w:hint="eastAsia" w:ascii="仿宋" w:hAnsi="仿宋" w:eastAsia="仿宋" w:cs="仿宋"/>
          <w:sz w:val="32"/>
          <w:szCs w:val="32"/>
        </w:rPr>
        <w:t>合理安排</w:t>
      </w:r>
      <w:r>
        <w:rPr>
          <w:rFonts w:hint="eastAsia" w:ascii="仿宋" w:hAnsi="仿宋" w:eastAsia="仿宋" w:cs="仿宋"/>
          <w:sz w:val="32"/>
          <w:szCs w:val="32"/>
          <w:lang w:eastAsia="zh-CN"/>
        </w:rPr>
        <w:t>作业</w:t>
      </w:r>
      <w:r>
        <w:rPr>
          <w:rFonts w:hint="eastAsia" w:ascii="仿宋" w:hAnsi="仿宋" w:eastAsia="仿宋" w:cs="仿宋"/>
          <w:sz w:val="32"/>
          <w:szCs w:val="32"/>
        </w:rPr>
        <w:t>时间</w:t>
      </w:r>
      <w:r>
        <w:rPr>
          <w:rFonts w:hint="eastAsia" w:ascii="仿宋" w:hAnsi="仿宋" w:eastAsia="仿宋" w:cs="仿宋"/>
          <w:sz w:val="32"/>
          <w:szCs w:val="32"/>
          <w:lang w:eastAsia="zh-CN"/>
        </w:rPr>
        <w:t>，严禁干扰或惊吓野生动物。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（七）</w:t>
      </w:r>
      <w:r>
        <w:rPr>
          <w:rFonts w:hint="eastAsia" w:ascii="仿宋" w:hAnsi="仿宋" w:eastAsia="仿宋" w:cs="仿宋"/>
          <w:sz w:val="32"/>
          <w:szCs w:val="32"/>
        </w:rPr>
        <w:t>固体废物处置措施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sz w:val="32"/>
          <w:szCs w:val="32"/>
        </w:rPr>
        <w:t>废弃土石方运至弃渣场堆放，不得随意丢弃；建筑材料、废弃土石方、生活垃圾禁止随意丢弃</w:t>
      </w:r>
      <w:r>
        <w:rPr>
          <w:rFonts w:hint="eastAsia" w:ascii="仿宋" w:hAnsi="仿宋" w:eastAsia="仿宋" w:cs="仿宋"/>
          <w:color w:val="auto"/>
          <w:sz w:val="32"/>
          <w:szCs w:val="32"/>
        </w:rPr>
        <w:t>；施工区设置垃圾收集设施，定期对</w:t>
      </w:r>
      <w:r>
        <w:rPr>
          <w:rFonts w:hint="eastAsia" w:ascii="仿宋" w:hAnsi="仿宋" w:eastAsia="仿宋" w:cs="仿宋"/>
          <w:color w:val="auto"/>
          <w:sz w:val="32"/>
          <w:szCs w:val="32"/>
          <w:lang w:eastAsia="zh-CN"/>
        </w:rPr>
        <w:t>施</w:t>
      </w:r>
      <w:r>
        <w:rPr>
          <w:rFonts w:hint="eastAsia" w:ascii="仿宋" w:hAnsi="仿宋" w:eastAsia="仿宋" w:cs="仿宋"/>
          <w:color w:val="auto"/>
          <w:sz w:val="32"/>
          <w:szCs w:val="32"/>
        </w:rPr>
        <w:t>工人员生活垃圾进行</w:t>
      </w:r>
      <w:r>
        <w:rPr>
          <w:rFonts w:hint="eastAsia" w:ascii="仿宋" w:hAnsi="仿宋" w:eastAsia="仿宋" w:cs="仿宋"/>
          <w:color w:val="auto"/>
          <w:sz w:val="32"/>
          <w:szCs w:val="32"/>
          <w:lang w:eastAsia="zh-CN"/>
        </w:rPr>
        <w:t>统一分类</w:t>
      </w:r>
      <w:r>
        <w:rPr>
          <w:rFonts w:hint="eastAsia" w:ascii="仿宋" w:hAnsi="仿宋" w:eastAsia="仿宋" w:cs="仿宋"/>
          <w:color w:val="auto"/>
          <w:sz w:val="32"/>
          <w:szCs w:val="32"/>
        </w:rPr>
        <w:t>收集，</w:t>
      </w:r>
      <w:r>
        <w:rPr>
          <w:rFonts w:hint="eastAsia" w:ascii="仿宋" w:hAnsi="仿宋" w:eastAsia="仿宋" w:cs="仿宋"/>
          <w:color w:val="auto"/>
          <w:sz w:val="32"/>
          <w:szCs w:val="32"/>
          <w:lang w:eastAsia="zh-CN"/>
        </w:rPr>
        <w:t>运至周边乡镇村垃圾处置场所集中规范处置</w:t>
      </w:r>
      <w:r>
        <w:rPr>
          <w:rFonts w:hint="eastAsia" w:ascii="仿宋" w:hAnsi="仿宋" w:eastAsia="仿宋" w:cs="仿宋"/>
          <w:color w:val="auto"/>
          <w:sz w:val="32"/>
          <w:szCs w:val="32"/>
        </w:rPr>
        <w:t>；弃渣场严格按照水土保持方案设计</w:t>
      </w:r>
      <w:r>
        <w:rPr>
          <w:rFonts w:hint="eastAsia" w:ascii="仿宋" w:hAnsi="仿宋" w:eastAsia="仿宋" w:cs="仿宋"/>
          <w:color w:val="auto"/>
          <w:sz w:val="32"/>
          <w:szCs w:val="32"/>
          <w:lang w:eastAsia="zh-CN"/>
        </w:rPr>
        <w:t>要求</w:t>
      </w:r>
      <w:r>
        <w:rPr>
          <w:rFonts w:hint="eastAsia" w:ascii="仿宋" w:hAnsi="仿宋" w:eastAsia="仿宋" w:cs="仿宋"/>
          <w:color w:val="auto"/>
          <w:sz w:val="32"/>
          <w:szCs w:val="32"/>
        </w:rPr>
        <w:t>采取拦挡、截排水及</w:t>
      </w:r>
      <w:r>
        <w:rPr>
          <w:rFonts w:hint="eastAsia" w:ascii="仿宋" w:hAnsi="仿宋" w:eastAsia="仿宋" w:cs="仿宋"/>
          <w:color w:val="auto"/>
          <w:sz w:val="32"/>
          <w:szCs w:val="32"/>
          <w:lang w:eastAsia="zh-CN"/>
        </w:rPr>
        <w:t>覆土绿化</w:t>
      </w:r>
      <w:r>
        <w:rPr>
          <w:rFonts w:hint="eastAsia" w:ascii="仿宋" w:hAnsi="仿宋" w:eastAsia="仿宋" w:cs="仿宋"/>
          <w:color w:val="auto"/>
          <w:sz w:val="32"/>
          <w:szCs w:val="32"/>
        </w:rPr>
        <w:t>措施</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eastAsia="zh-CN"/>
        </w:rPr>
        <w:t>危险废物交由资质单位处置。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auto"/>
          <w:sz w:val="32"/>
          <w:szCs w:val="32"/>
        </w:rPr>
        <w:t>四、工程建设必须严格执</w:t>
      </w:r>
      <w:r>
        <w:rPr>
          <w:rFonts w:hint="eastAsia" w:ascii="仿宋" w:hAnsi="仿宋" w:eastAsia="仿宋" w:cs="仿宋"/>
          <w:kern w:val="0"/>
          <w:sz w:val="32"/>
          <w:szCs w:val="32"/>
        </w:rPr>
        <w:t>行环境保护设施与主体工程同时设计、同时施工、同时投产使用的环境保护“三同时”制度，落实各项生态环境保护措施。</w:t>
      </w:r>
    </w:p>
    <w:p>
      <w:pPr>
        <w:pageBreakBefore w:val="0"/>
        <w:widowControl/>
        <w:kinsoku/>
        <w:wordWrap/>
        <w:overflowPunct/>
        <w:topLinePunct w:val="0"/>
        <w:autoSpaceDN/>
        <w:bidi w:val="0"/>
        <w:spacing w:line="560" w:lineRule="exact"/>
        <w:jc w:val="left"/>
        <w:rPr>
          <w:rFonts w:hint="eastAsia" w:ascii="仿宋" w:hAnsi="仿宋" w:eastAsia="仿宋" w:cs="仿宋"/>
          <w:sz w:val="32"/>
          <w:szCs w:val="32"/>
          <w:lang w:eastAsia="zh-CN"/>
        </w:rPr>
      </w:pPr>
      <w:r>
        <w:rPr>
          <w:rFonts w:hint="eastAsia" w:ascii="仿宋" w:hAnsi="仿宋" w:eastAsia="仿宋" w:cs="仿宋"/>
          <w:kern w:val="0"/>
          <w:sz w:val="32"/>
          <w:szCs w:val="32"/>
        </w:rPr>
        <w:t xml:space="preserve">  </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（一）</w:t>
      </w:r>
      <w:r>
        <w:rPr>
          <w:rFonts w:hint="eastAsia" w:ascii="仿宋" w:hAnsi="仿宋" w:eastAsia="仿宋" w:cs="仿宋"/>
          <w:kern w:val="0"/>
          <w:sz w:val="32"/>
          <w:szCs w:val="32"/>
          <w:lang w:eastAsia="zh-CN"/>
        </w:rPr>
        <w:t>施工期工程环境监理纳入工程监理内容一并实施，并委托有资质的环境监测机构及时开展施工期的环境监测工作，施工期工程环境建立报告和环境监测报告须作为项目竣工环保验调查的必备内容之一。同时</w:t>
      </w:r>
      <w:r>
        <w:rPr>
          <w:rFonts w:hint="eastAsia" w:ascii="仿宋" w:hAnsi="仿宋" w:eastAsia="仿宋" w:cs="仿宋"/>
          <w:kern w:val="0"/>
          <w:sz w:val="32"/>
          <w:szCs w:val="32"/>
        </w:rPr>
        <w:t>将生态环境保护工程施工纳入工程建设合同</w:t>
      </w:r>
      <w:r>
        <w:rPr>
          <w:rFonts w:hint="eastAsia" w:ascii="仿宋" w:hAnsi="仿宋" w:eastAsia="仿宋" w:cs="仿宋"/>
          <w:kern w:val="0"/>
          <w:sz w:val="32"/>
          <w:szCs w:val="32"/>
          <w:lang w:eastAsia="zh-CN"/>
        </w:rPr>
        <w:t>，严格对施工队的管理力度，做到科学文明作业。</w:t>
      </w:r>
    </w:p>
    <w:p>
      <w:pPr>
        <w:pageBreakBefore w:val="0"/>
        <w:widowControl/>
        <w:kinsoku/>
        <w:wordWrap/>
        <w:overflowPunct/>
        <w:topLinePunct w:val="0"/>
        <w:autoSpaceDN/>
        <w:bidi w:val="0"/>
        <w:spacing w:line="560" w:lineRule="exact"/>
        <w:jc w:val="left"/>
        <w:rPr>
          <w:rFonts w:hint="eastAsia" w:ascii="仿宋" w:hAnsi="仿宋" w:eastAsia="仿宋" w:cs="仿宋"/>
          <w:sz w:val="32"/>
          <w:szCs w:val="32"/>
        </w:rPr>
      </w:pPr>
      <w:r>
        <w:rPr>
          <w:rFonts w:hint="eastAsia" w:ascii="仿宋" w:hAnsi="仿宋" w:eastAsia="仿宋" w:cs="仿宋"/>
          <w:kern w:val="0"/>
          <w:sz w:val="32"/>
          <w:szCs w:val="32"/>
        </w:rPr>
        <w:t xml:space="preserve">  </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（二）蓄水前应开展阶段环境保护验收，蓄水及运行期生态流量下泄及生态调度方案、生态流量泄放设施及在线监测系统等应作为主要内容。工程建成后，应按规定程序开展竣工环境保护验收。</w:t>
      </w:r>
    </w:p>
    <w:p>
      <w:pPr>
        <w:pageBreakBefore w:val="0"/>
        <w:widowControl/>
        <w:kinsoku/>
        <w:wordWrap/>
        <w:overflowPunct/>
        <w:topLinePunct w:val="0"/>
        <w:autoSpaceDN/>
        <w:bidi w:val="0"/>
        <w:spacing w:line="56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 xml:space="preserve">  </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（三）你</w:t>
      </w:r>
      <w:r>
        <w:rPr>
          <w:rFonts w:hint="eastAsia" w:ascii="仿宋" w:hAnsi="仿宋" w:eastAsia="仿宋" w:cs="仿宋"/>
          <w:kern w:val="0"/>
          <w:sz w:val="32"/>
          <w:szCs w:val="32"/>
          <w:lang w:eastAsia="zh-CN"/>
        </w:rPr>
        <w:t>局</w:t>
      </w:r>
      <w:r>
        <w:rPr>
          <w:rFonts w:hint="eastAsia" w:ascii="仿宋" w:hAnsi="仿宋" w:eastAsia="仿宋" w:cs="仿宋"/>
          <w:kern w:val="0"/>
          <w:sz w:val="32"/>
          <w:szCs w:val="32"/>
        </w:rPr>
        <w:t>应建立内部环境管理机构和制度，明确人员和环境保护责任。制定和落实各项监测计划</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生态调度、</w:t>
      </w:r>
      <w:r>
        <w:rPr>
          <w:rFonts w:hint="eastAsia" w:ascii="仿宋" w:hAnsi="仿宋" w:eastAsia="仿宋" w:cs="仿宋"/>
          <w:kern w:val="0"/>
          <w:sz w:val="32"/>
          <w:szCs w:val="32"/>
          <w:lang w:eastAsia="zh-CN"/>
        </w:rPr>
        <w:t>环境管理</w:t>
      </w:r>
      <w:r>
        <w:rPr>
          <w:rFonts w:hint="eastAsia" w:ascii="仿宋" w:hAnsi="仿宋" w:eastAsia="仿宋" w:cs="仿宋"/>
          <w:kern w:val="0"/>
          <w:sz w:val="32"/>
          <w:szCs w:val="32"/>
        </w:rPr>
        <w:t>等措施有效性开展长期跟踪监测，适时纳入建设项目全过程环境管理体系。适时对监测结果进行评估，根据评估结论进一步优化生态环境保护措施。实施竣工环境保护验收后运行3至5年，应按规定开展环境影响后评价。</w:t>
      </w:r>
    </w:p>
    <w:p>
      <w:pPr>
        <w:pStyle w:val="2"/>
        <w:ind w:firstLine="640" w:firstLineChars="200"/>
        <w:rPr>
          <w:rFonts w:hint="eastAsia" w:eastAsia="仿宋"/>
          <w:lang w:eastAsia="zh-CN"/>
        </w:rPr>
      </w:pPr>
      <w:r>
        <w:rPr>
          <w:rFonts w:hint="eastAsia" w:ascii="仿宋" w:hAnsi="仿宋" w:eastAsia="仿宋" w:cs="仿宋"/>
          <w:kern w:val="0"/>
          <w:sz w:val="32"/>
          <w:szCs w:val="32"/>
          <w:lang w:eastAsia="zh-CN"/>
        </w:rPr>
        <w:t>（四）施工期间每季度应向迪庆州生态环境局德钦分局数码报告工程建设环境保护执行情况，每年报送年度总结报告。</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五</w:t>
      </w:r>
      <w:r>
        <w:rPr>
          <w:rFonts w:hint="eastAsia" w:ascii="仿宋" w:hAnsi="仿宋" w:eastAsia="仿宋" w:cs="仿宋"/>
          <w:kern w:val="0"/>
          <w:sz w:val="32"/>
          <w:szCs w:val="32"/>
        </w:rPr>
        <w:t>、</w:t>
      </w:r>
      <w:r>
        <w:rPr>
          <w:rFonts w:hint="eastAsia" w:ascii="仿宋" w:hAnsi="仿宋" w:eastAsia="仿宋" w:cs="仿宋"/>
          <w:sz w:val="32"/>
          <w:szCs w:val="32"/>
        </w:rPr>
        <w:t>项目若发生重大变动，须另行组织开展环境影响评价并重新报批。自环境影响</w:t>
      </w:r>
      <w:r>
        <w:rPr>
          <w:rFonts w:hint="eastAsia" w:ascii="仿宋" w:hAnsi="仿宋" w:eastAsia="仿宋" w:cs="仿宋"/>
          <w:sz w:val="32"/>
          <w:szCs w:val="32"/>
          <w:lang w:eastAsia="zh-CN"/>
        </w:rPr>
        <w:t>报告书</w:t>
      </w:r>
      <w:r>
        <w:rPr>
          <w:rFonts w:hint="eastAsia" w:ascii="仿宋" w:hAnsi="仿宋" w:eastAsia="仿宋" w:cs="仿宋"/>
          <w:sz w:val="32"/>
          <w:szCs w:val="32"/>
        </w:rPr>
        <w:t>批准之日起，如超过5年项目才开始建设的，环境影响</w:t>
      </w:r>
      <w:r>
        <w:rPr>
          <w:rFonts w:hint="eastAsia" w:ascii="仿宋" w:hAnsi="仿宋" w:eastAsia="仿宋" w:cs="仿宋"/>
          <w:sz w:val="32"/>
          <w:szCs w:val="32"/>
          <w:lang w:eastAsia="zh-CN"/>
        </w:rPr>
        <w:t>报告书</w:t>
      </w:r>
      <w:r>
        <w:rPr>
          <w:rFonts w:hint="eastAsia" w:ascii="仿宋" w:hAnsi="仿宋" w:eastAsia="仿宋" w:cs="仿宋"/>
          <w:sz w:val="32"/>
          <w:szCs w:val="32"/>
        </w:rPr>
        <w:t>应当报</w:t>
      </w:r>
      <w:r>
        <w:rPr>
          <w:rFonts w:hint="eastAsia" w:ascii="仿宋" w:hAnsi="仿宋" w:eastAsia="仿宋" w:cs="仿宋"/>
          <w:sz w:val="32"/>
          <w:szCs w:val="32"/>
          <w:lang w:eastAsia="zh-CN"/>
        </w:rPr>
        <w:t>生态环境部门</w:t>
      </w:r>
      <w:r>
        <w:rPr>
          <w:rFonts w:hint="eastAsia" w:ascii="仿宋" w:hAnsi="仿宋" w:eastAsia="仿宋" w:cs="仿宋"/>
          <w:sz w:val="32"/>
          <w:szCs w:val="32"/>
        </w:rPr>
        <w:t>重新</w:t>
      </w:r>
      <w:r>
        <w:rPr>
          <w:rFonts w:hint="eastAsia" w:ascii="仿宋" w:hAnsi="仿宋" w:eastAsia="仿宋" w:cs="仿宋"/>
          <w:sz w:val="32"/>
          <w:szCs w:val="32"/>
          <w:lang w:eastAsia="zh-CN"/>
        </w:rPr>
        <w:t>审批</w:t>
      </w:r>
      <w:r>
        <w:rPr>
          <w:rFonts w:hint="eastAsia" w:ascii="仿宋" w:hAnsi="仿宋" w:eastAsia="仿宋" w:cs="仿宋"/>
          <w:sz w:val="32"/>
          <w:szCs w:val="32"/>
        </w:rPr>
        <w:t>。</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hint="eastAsia" w:ascii="仿宋" w:hAnsi="仿宋" w:eastAsia="仿宋" w:cs="仿宋"/>
          <w:color w:val="C00000"/>
          <w:kern w:val="0"/>
          <w:sz w:val="32"/>
          <w:szCs w:val="32"/>
          <w:lang w:eastAsia="zh-CN"/>
        </w:rPr>
      </w:pPr>
      <w:r>
        <w:rPr>
          <w:rFonts w:hint="eastAsia" w:ascii="仿宋" w:hAnsi="仿宋" w:eastAsia="仿宋" w:cs="仿宋"/>
          <w:sz w:val="32"/>
          <w:szCs w:val="32"/>
          <w:lang w:eastAsia="zh-CN"/>
        </w:rPr>
        <w:t>六、</w:t>
      </w:r>
      <w:r>
        <w:rPr>
          <w:rFonts w:hint="eastAsia" w:ascii="仿宋" w:hAnsi="仿宋" w:eastAsia="仿宋" w:cs="仿宋"/>
          <w:kern w:val="0"/>
          <w:sz w:val="32"/>
          <w:szCs w:val="32"/>
        </w:rPr>
        <w:t>你</w:t>
      </w:r>
      <w:r>
        <w:rPr>
          <w:rFonts w:hint="eastAsia" w:ascii="仿宋" w:hAnsi="仿宋" w:eastAsia="仿宋" w:cs="仿宋"/>
          <w:kern w:val="0"/>
          <w:sz w:val="32"/>
          <w:szCs w:val="32"/>
          <w:lang w:eastAsia="zh-CN"/>
        </w:rPr>
        <w:t>单位</w:t>
      </w:r>
      <w:r>
        <w:rPr>
          <w:rFonts w:hint="eastAsia" w:ascii="仿宋" w:hAnsi="仿宋" w:eastAsia="仿宋" w:cs="仿宋"/>
          <w:kern w:val="0"/>
          <w:sz w:val="32"/>
          <w:szCs w:val="32"/>
        </w:rPr>
        <w:t>应在接到本批复后15个工作日内，将批准后的环境影响</w:t>
      </w:r>
      <w:r>
        <w:rPr>
          <w:rFonts w:hint="eastAsia" w:ascii="仿宋" w:hAnsi="仿宋" w:eastAsia="仿宋" w:cs="仿宋"/>
          <w:kern w:val="0"/>
          <w:sz w:val="32"/>
          <w:szCs w:val="32"/>
          <w:lang w:eastAsia="zh-CN"/>
        </w:rPr>
        <w:t>报告书报</w:t>
      </w:r>
      <w:r>
        <w:rPr>
          <w:rFonts w:hint="eastAsia" w:ascii="仿宋" w:hAnsi="仿宋" w:eastAsia="仿宋" w:cs="仿宋"/>
          <w:color w:val="auto"/>
          <w:kern w:val="0"/>
          <w:sz w:val="32"/>
          <w:szCs w:val="32"/>
          <w:lang w:eastAsia="zh-CN"/>
        </w:rPr>
        <w:t>批稿和批复文件</w:t>
      </w:r>
      <w:r>
        <w:rPr>
          <w:rFonts w:hint="eastAsia" w:ascii="仿宋" w:hAnsi="仿宋" w:eastAsia="仿宋" w:cs="仿宋"/>
          <w:color w:val="auto"/>
          <w:kern w:val="0"/>
          <w:sz w:val="32"/>
          <w:szCs w:val="32"/>
        </w:rPr>
        <w:t>送</w:t>
      </w:r>
      <w:r>
        <w:rPr>
          <w:rFonts w:hint="eastAsia" w:ascii="仿宋" w:hAnsi="仿宋" w:eastAsia="仿宋" w:cs="仿宋"/>
          <w:color w:val="auto"/>
          <w:kern w:val="2"/>
          <w:sz w:val="32"/>
          <w:szCs w:val="32"/>
        </w:rPr>
        <w:t>州生态环境局</w:t>
      </w:r>
      <w:r>
        <w:rPr>
          <w:rFonts w:hint="eastAsia" w:ascii="仿宋" w:hAnsi="仿宋" w:eastAsia="仿宋" w:cs="仿宋"/>
          <w:color w:val="auto"/>
          <w:kern w:val="2"/>
          <w:sz w:val="32"/>
          <w:szCs w:val="32"/>
          <w:lang w:eastAsia="zh-CN"/>
        </w:rPr>
        <w:t>德钦</w:t>
      </w:r>
      <w:r>
        <w:rPr>
          <w:rFonts w:hint="eastAsia" w:ascii="仿宋" w:hAnsi="仿宋" w:eastAsia="仿宋" w:cs="仿宋"/>
          <w:color w:val="auto"/>
          <w:kern w:val="2"/>
          <w:sz w:val="32"/>
          <w:szCs w:val="32"/>
        </w:rPr>
        <w:t>分局</w:t>
      </w:r>
      <w:r>
        <w:rPr>
          <w:rFonts w:hint="eastAsia" w:ascii="仿宋" w:hAnsi="仿宋" w:eastAsia="仿宋" w:cs="仿宋"/>
          <w:color w:val="auto"/>
          <w:kern w:val="2"/>
          <w:sz w:val="32"/>
          <w:szCs w:val="32"/>
          <w:lang w:eastAsia="zh-CN"/>
        </w:rPr>
        <w:t>报备</w:t>
      </w:r>
      <w:r>
        <w:rPr>
          <w:rFonts w:hint="eastAsia" w:ascii="仿宋" w:hAnsi="仿宋" w:eastAsia="仿宋" w:cs="仿宋"/>
          <w:color w:val="auto"/>
          <w:kern w:val="0"/>
          <w:sz w:val="32"/>
          <w:szCs w:val="32"/>
          <w:lang w:eastAsia="zh-CN"/>
        </w:rPr>
        <w:t>。</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七、</w:t>
      </w:r>
      <w:r>
        <w:rPr>
          <w:rFonts w:hint="eastAsia" w:ascii="仿宋" w:hAnsi="仿宋" w:eastAsia="仿宋" w:cs="仿宋"/>
          <w:kern w:val="2"/>
          <w:sz w:val="32"/>
          <w:szCs w:val="32"/>
        </w:rPr>
        <w:t>州生态环境保护综合执法支队</w:t>
      </w:r>
      <w:r>
        <w:rPr>
          <w:rFonts w:hint="eastAsia" w:ascii="仿宋" w:hAnsi="仿宋" w:eastAsia="仿宋" w:cs="仿宋"/>
          <w:kern w:val="0"/>
          <w:sz w:val="32"/>
          <w:szCs w:val="32"/>
          <w:lang w:eastAsia="zh-CN"/>
        </w:rPr>
        <w:t>、</w:t>
      </w:r>
      <w:r>
        <w:rPr>
          <w:rFonts w:hint="eastAsia" w:ascii="仿宋" w:hAnsi="仿宋" w:eastAsia="仿宋" w:cs="仿宋"/>
          <w:kern w:val="2"/>
          <w:sz w:val="32"/>
          <w:szCs w:val="32"/>
        </w:rPr>
        <w:t>州生态环境局</w:t>
      </w:r>
      <w:r>
        <w:rPr>
          <w:rFonts w:hint="eastAsia" w:ascii="仿宋" w:hAnsi="仿宋" w:eastAsia="仿宋" w:cs="仿宋"/>
          <w:kern w:val="2"/>
          <w:sz w:val="32"/>
          <w:szCs w:val="32"/>
          <w:lang w:eastAsia="zh-CN"/>
        </w:rPr>
        <w:t>德钦</w:t>
      </w:r>
      <w:r>
        <w:rPr>
          <w:rFonts w:hint="eastAsia" w:ascii="仿宋" w:hAnsi="仿宋" w:eastAsia="仿宋" w:cs="仿宋"/>
          <w:kern w:val="2"/>
          <w:sz w:val="32"/>
          <w:szCs w:val="32"/>
        </w:rPr>
        <w:t>分局</w:t>
      </w:r>
      <w:r>
        <w:rPr>
          <w:rFonts w:hint="eastAsia" w:ascii="仿宋" w:hAnsi="仿宋" w:eastAsia="仿宋" w:cs="仿宋"/>
          <w:kern w:val="0"/>
          <w:sz w:val="32"/>
          <w:szCs w:val="32"/>
        </w:rPr>
        <w:t>负责组织该项目的环境执法现场监察和日常监督管理。</w:t>
      </w:r>
    </w:p>
    <w:p>
      <w:pPr>
        <w:pStyle w:val="11"/>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eastAsia="zh-CN"/>
        </w:rPr>
        <w:t>八、</w:t>
      </w:r>
      <w:r>
        <w:rPr>
          <w:rFonts w:hint="eastAsia" w:ascii="仿宋" w:hAnsi="仿宋" w:eastAsia="仿宋" w:cs="仿宋"/>
          <w:sz w:val="32"/>
          <w:szCs w:val="32"/>
        </w:rPr>
        <w:t>其他未经说明事宜，严格按照相关法律法规、规章制度</w:t>
      </w:r>
      <w:r>
        <w:rPr>
          <w:rFonts w:hint="eastAsia" w:ascii="仿宋" w:hAnsi="仿宋" w:eastAsia="仿宋" w:cs="仿宋"/>
          <w:sz w:val="32"/>
          <w:szCs w:val="32"/>
          <w:lang w:eastAsia="zh-CN"/>
        </w:rPr>
        <w:t>和现行标准及</w:t>
      </w:r>
      <w:r>
        <w:rPr>
          <w:rFonts w:hint="eastAsia" w:ascii="仿宋" w:hAnsi="仿宋" w:eastAsia="仿宋" w:cs="仿宋"/>
          <w:sz w:val="32"/>
          <w:szCs w:val="32"/>
        </w:rPr>
        <w:t>政策要求办理。</w:t>
      </w:r>
    </w:p>
    <w:p>
      <w:pPr>
        <w:pStyle w:val="11"/>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kern w:val="0"/>
          <w:sz w:val="32"/>
          <w:szCs w:val="32"/>
          <w:lang w:eastAsia="zh-CN"/>
        </w:rPr>
      </w:pPr>
    </w:p>
    <w:p>
      <w:pPr>
        <w:keepNext w:val="0"/>
        <w:keepLines w:val="0"/>
        <w:pageBreakBefore w:val="0"/>
        <w:kinsoku/>
        <w:wordWrap/>
        <w:overflowPunct/>
        <w:topLinePunct w:val="0"/>
        <w:autoSpaceDE/>
        <w:autoSpaceDN/>
        <w:bidi w:val="0"/>
        <w:adjustRightInd/>
        <w:spacing w:line="560" w:lineRule="exact"/>
        <w:ind w:firstLine="3680" w:firstLineChars="1150"/>
        <w:textAlignment w:val="auto"/>
        <w:rPr>
          <w:rFonts w:hint="eastAsia" w:ascii="仿宋" w:hAnsi="仿宋" w:eastAsia="仿宋" w:cs="仿宋"/>
          <w:sz w:val="32"/>
          <w:szCs w:val="32"/>
        </w:rPr>
      </w:pPr>
      <w:r>
        <w:rPr>
          <w:rFonts w:hint="eastAsia" w:ascii="仿宋" w:hAnsi="仿宋" w:eastAsia="仿宋" w:cs="仿宋"/>
          <w:sz w:val="32"/>
          <w:szCs w:val="32"/>
        </w:rPr>
        <w:t xml:space="preserve"> 迪庆藏族自治州生态环境局</w:t>
      </w:r>
    </w:p>
    <w:p>
      <w:pPr>
        <w:pStyle w:val="10"/>
        <w:pageBreakBefore w:val="0"/>
        <w:kinsoku/>
        <w:wordWrap/>
        <w:overflowPunct/>
        <w:topLinePunct w:val="0"/>
        <w:autoSpaceDN/>
        <w:bidi w:val="0"/>
        <w:spacing w:line="560" w:lineRule="exact"/>
        <w:rPr>
          <w:rFonts w:hint="eastAsia" w:ascii="仿宋" w:hAnsi="仿宋" w:eastAsia="仿宋" w:cs="仿宋"/>
          <w:sz w:val="32"/>
          <w:szCs w:val="32"/>
        </w:rPr>
      </w:pPr>
      <w:r>
        <w:rPr>
          <w:rFonts w:hint="eastAsia" w:ascii="仿宋" w:hAnsi="仿宋" w:eastAsia="仿宋" w:cs="仿宋"/>
          <w:sz w:val="32"/>
          <w:szCs w:val="32"/>
        </w:rPr>
        <w:t xml:space="preserve">                            2020年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22</w:t>
      </w:r>
      <w:r>
        <w:rPr>
          <w:rFonts w:hint="eastAsia" w:ascii="仿宋" w:hAnsi="仿宋" w:eastAsia="仿宋" w:cs="仿宋"/>
          <w:sz w:val="32"/>
          <w:szCs w:val="32"/>
        </w:rPr>
        <w:t>日</w:t>
      </w:r>
    </w:p>
    <w:p>
      <w:pPr>
        <w:pStyle w:val="11"/>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（此件公开）</w:t>
      </w:r>
    </w:p>
    <w:p>
      <w:pPr>
        <w:pStyle w:val="10"/>
        <w:rPr>
          <w:rFonts w:hint="eastAsia" w:ascii="仿宋" w:hAnsi="仿宋" w:eastAsia="仿宋" w:cs="仿宋"/>
          <w:sz w:val="32"/>
          <w:szCs w:val="32"/>
        </w:rPr>
      </w:pPr>
    </w:p>
    <w:p>
      <w:pPr>
        <w:pStyle w:val="10"/>
        <w:rPr>
          <w:rFonts w:hint="eastAsia" w:ascii="仿宋" w:hAnsi="仿宋" w:eastAsia="仿宋" w:cs="仿宋"/>
          <w:sz w:val="32"/>
          <w:szCs w:val="32"/>
        </w:rPr>
      </w:pPr>
    </w:p>
    <w:p>
      <w:pPr>
        <w:pStyle w:val="10"/>
        <w:rPr>
          <w:rFonts w:hint="eastAsia" w:ascii="仿宋" w:hAnsi="仿宋" w:eastAsia="仿宋" w:cs="仿宋"/>
          <w:sz w:val="32"/>
          <w:szCs w:val="32"/>
        </w:rPr>
      </w:pPr>
    </w:p>
    <w:p>
      <w:pPr>
        <w:pStyle w:val="10"/>
        <w:rPr>
          <w:rFonts w:hint="eastAsia" w:ascii="仿宋" w:hAnsi="仿宋" w:eastAsia="仿宋" w:cs="仿宋"/>
          <w:sz w:val="32"/>
          <w:szCs w:val="32"/>
        </w:rPr>
      </w:pPr>
    </w:p>
    <w:p>
      <w:pPr>
        <w:pStyle w:val="10"/>
        <w:rPr>
          <w:rFonts w:hint="eastAsia" w:ascii="仿宋" w:hAnsi="仿宋" w:eastAsia="仿宋" w:cs="仿宋"/>
          <w:sz w:val="32"/>
          <w:szCs w:val="32"/>
        </w:rPr>
      </w:pPr>
    </w:p>
    <w:p>
      <w:pPr>
        <w:pStyle w:val="10"/>
        <w:rPr>
          <w:rFonts w:hint="eastAsia" w:ascii="仿宋" w:hAnsi="仿宋" w:eastAsia="仿宋" w:cs="仿宋"/>
          <w:sz w:val="32"/>
          <w:szCs w:val="32"/>
        </w:rPr>
      </w:pPr>
    </w:p>
    <w:p>
      <w:pPr>
        <w:pStyle w:val="10"/>
        <w:rPr>
          <w:rFonts w:hint="eastAsia" w:ascii="仿宋" w:hAnsi="仿宋" w:eastAsia="仿宋" w:cs="仿宋"/>
          <w:sz w:val="32"/>
          <w:szCs w:val="32"/>
        </w:rPr>
      </w:pPr>
    </w:p>
    <w:p>
      <w:pPr>
        <w:pStyle w:val="10"/>
        <w:rPr>
          <w:rFonts w:hint="eastAsia" w:ascii="仿宋" w:hAnsi="仿宋" w:eastAsia="仿宋" w:cs="仿宋"/>
          <w:sz w:val="32"/>
          <w:szCs w:val="32"/>
        </w:rPr>
      </w:pPr>
    </w:p>
    <w:p>
      <w:pPr>
        <w:pStyle w:val="10"/>
        <w:rPr>
          <w:rFonts w:hint="eastAsia" w:ascii="仿宋" w:hAnsi="仿宋" w:eastAsia="仿宋" w:cs="仿宋"/>
          <w:sz w:val="32"/>
          <w:szCs w:val="32"/>
        </w:rPr>
      </w:pPr>
      <w:bookmarkStart w:id="0" w:name="_GoBack"/>
      <w:bookmarkEnd w:id="0"/>
    </w:p>
    <w:p>
      <w:pPr>
        <w:pStyle w:val="10"/>
        <w:rPr>
          <w:rFonts w:hint="eastAsia" w:ascii="仿宋" w:hAnsi="仿宋" w:eastAsia="仿宋" w:cs="仿宋"/>
          <w:sz w:val="32"/>
          <w:szCs w:val="32"/>
        </w:rPr>
      </w:pPr>
    </w:p>
    <w:p>
      <w:pPr>
        <w:pStyle w:val="10"/>
        <w:rPr>
          <w:rFonts w:hint="eastAsia" w:ascii="仿宋" w:hAnsi="仿宋" w:eastAsia="仿宋" w:cs="仿宋"/>
          <w:sz w:val="32"/>
          <w:szCs w:val="32"/>
        </w:rPr>
      </w:pPr>
      <w:r>
        <w:rPr>
          <w:rFonts w:hint="eastAsia" w:ascii="仿宋" w:hAnsi="仿宋" w:eastAsia="仿宋" w:cs="仿宋"/>
          <w:sz w:val="32"/>
          <w:szCs w:val="32"/>
        </w:rPr>
        <mc:AlternateContent>
          <mc:Choice Requires="wps">
            <w:drawing>
              <wp:anchor distT="0" distB="0" distL="114300" distR="114300" simplePos="0" relativeHeight="251663360" behindDoc="0" locked="0" layoutInCell="1" allowOverlap="1">
                <wp:simplePos x="0" y="0"/>
                <wp:positionH relativeFrom="column">
                  <wp:posOffset>635</wp:posOffset>
                </wp:positionH>
                <wp:positionV relativeFrom="paragraph">
                  <wp:posOffset>260985</wp:posOffset>
                </wp:positionV>
                <wp:extent cx="5248275" cy="0"/>
                <wp:effectExtent l="0" t="0" r="0" b="0"/>
                <wp:wrapNone/>
                <wp:docPr id="2" name="直接连接符 2"/>
                <wp:cNvGraphicFramePr/>
                <a:graphic xmlns:a="http://schemas.openxmlformats.org/drawingml/2006/main">
                  <a:graphicData uri="http://schemas.microsoft.com/office/word/2010/wordprocessingShape">
                    <wps:wsp>
                      <wps:cNvCnPr/>
                      <wps:spPr>
                        <a:xfrm>
                          <a:off x="1143635" y="8338185"/>
                          <a:ext cx="5248275" cy="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0.05pt;margin-top:20.55pt;height:0pt;width:413.25pt;z-index:251663360;mso-width-relative:page;mso-height-relative:page;" filled="f" stroked="t" coordsize="21600,21600" o:gfxdata="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&#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Ndg263TAAAABgEAAA8AAAAAAAAAAQAgAAAAIgAAAGRy&#10;cy9kb3ducmV2LnhtbFBLAQIUABQAAAAIAIdO4kBlV8eT0QEAAGYDAAAOAAAAAAAAAAEAIAAAACIB&#10;AABkcnMvZTJvRG9jLnhtbFBLBQYAAAAABgAGAFkBAABlBQAAAAA=&#10;">
                <v:fill on="f" focussize="0,0"/>
                <v:stroke color="#000000" joinstyle="round"/>
                <v:imagedata o:title=""/>
                <o:lock v:ext="edit" aspectratio="f"/>
              </v:line>
            </w:pict>
          </mc:Fallback>
        </mc:AlternateContent>
      </w:r>
    </w:p>
    <w:p>
      <w:pPr>
        <w:ind w:left="1179" w:leftChars="133" w:hanging="900" w:hangingChars="300"/>
        <w:rPr>
          <w:rFonts w:hint="eastAsia" w:ascii="仿宋" w:hAnsi="仿宋" w:eastAsia="仿宋" w:cs="仿宋"/>
          <w:sz w:val="30"/>
          <w:szCs w:val="30"/>
        </w:rPr>
      </w:pPr>
      <w:r>
        <w:rPr>
          <w:rFonts w:hint="eastAsia" w:ascii="仿宋" w:hAnsi="仿宋" w:eastAsia="仿宋" w:cs="仿宋"/>
          <w:sz w:val="30"/>
          <w:szCs w:val="30"/>
        </w:rPr>
        <w:t>抄送：州发展改革委，</w:t>
      </w:r>
      <w:r>
        <w:rPr>
          <w:rFonts w:hint="eastAsia" w:ascii="仿宋" w:hAnsi="仿宋" w:eastAsia="仿宋" w:cs="仿宋"/>
          <w:sz w:val="30"/>
          <w:szCs w:val="30"/>
          <w:lang w:eastAsia="zh-CN"/>
        </w:rPr>
        <w:t>州水务局，</w:t>
      </w:r>
      <w:r>
        <w:rPr>
          <w:rFonts w:hint="eastAsia" w:ascii="仿宋" w:hAnsi="仿宋" w:eastAsia="仿宋" w:cs="仿宋"/>
          <w:sz w:val="30"/>
          <w:szCs w:val="30"/>
        </w:rPr>
        <w:t>州生态环境局</w:t>
      </w:r>
      <w:r>
        <w:rPr>
          <w:rFonts w:hint="eastAsia" w:ascii="仿宋" w:hAnsi="仿宋" w:eastAsia="仿宋" w:cs="仿宋"/>
          <w:sz w:val="30"/>
          <w:szCs w:val="30"/>
          <w:lang w:eastAsia="zh-CN"/>
        </w:rPr>
        <w:t>德钦</w:t>
      </w:r>
      <w:r>
        <w:rPr>
          <w:rFonts w:hint="eastAsia" w:ascii="仿宋" w:hAnsi="仿宋" w:eastAsia="仿宋" w:cs="仿宋"/>
          <w:sz w:val="30"/>
          <w:szCs w:val="30"/>
        </w:rPr>
        <w:t>分局，州生态环境保护综合执法支队，环评单位。</w:t>
      </w:r>
    </w:p>
    <w:p>
      <w:pPr>
        <w:pBdr>
          <w:top w:val="single" w:color="auto" w:sz="6" w:space="1"/>
          <w:bottom w:val="single" w:color="auto" w:sz="6" w:space="1"/>
        </w:pBdr>
        <w:ind w:firstLine="320" w:firstLineChars="100"/>
        <w:rPr>
          <w:rFonts w:hint="eastAsia" w:ascii="仿宋" w:hAnsi="仿宋" w:eastAsia="仿宋" w:cs="仿宋"/>
          <w:sz w:val="32"/>
          <w:szCs w:val="32"/>
        </w:rPr>
      </w:pPr>
      <w:r>
        <w:rPr>
          <w:rFonts w:hint="eastAsia" w:ascii="仿宋" w:hAnsi="仿宋" w:eastAsia="仿宋" w:cs="仿宋"/>
          <w:sz w:val="32"/>
          <w:szCs w:val="32"/>
        </w:rPr>
        <w:t>迪庆藏族自治州生态环境局     2020年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22</w:t>
      </w:r>
      <w:r>
        <w:rPr>
          <w:rFonts w:hint="eastAsia" w:ascii="仿宋" w:hAnsi="仿宋" w:eastAsia="仿宋" w:cs="仿宋"/>
          <w:sz w:val="32"/>
          <w:szCs w:val="32"/>
        </w:rPr>
        <w:t>日印发</w:t>
      </w:r>
    </w:p>
    <w:sectPr>
      <w:footerReference r:id="rId3" w:type="default"/>
      <w:pgSz w:w="11906" w:h="16838"/>
      <w:pgMar w:top="1327" w:right="1800" w:bottom="132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8240" behindDoc="0" locked="0" layoutInCell="1" allowOverlap="1">
              <wp:simplePos x="0" y="0"/>
              <wp:positionH relativeFrom="margin">
                <wp:posOffset>5045710</wp:posOffset>
              </wp:positionH>
              <wp:positionV relativeFrom="paragraph">
                <wp:posOffset>-141605</wp:posOffset>
              </wp:positionV>
              <wp:extent cx="266700" cy="219710"/>
              <wp:effectExtent l="0" t="0" r="0" b="0"/>
              <wp:wrapNone/>
              <wp:docPr id="4" name="文本框 4"/>
              <wp:cNvGraphicFramePr/>
              <a:graphic xmlns:a="http://schemas.openxmlformats.org/drawingml/2006/main">
                <a:graphicData uri="http://schemas.microsoft.com/office/word/2010/wordprocessingShape">
                  <wps:wsp>
                    <wps:cNvSpPr txBox="1"/>
                    <wps:spPr>
                      <a:xfrm>
                        <a:off x="0" y="0"/>
                        <a:ext cx="266700" cy="219710"/>
                      </a:xfrm>
                      <a:prstGeom prst="rect">
                        <a:avLst/>
                      </a:prstGeom>
                      <a:noFill/>
                      <a:ln w="6350">
                        <a:noFill/>
                      </a:ln>
                      <a:effectLst/>
                    </wps:spPr>
                    <wps:txbx>
                      <w:txbxContent>
                        <w:p>
                          <w:pPr>
                            <w:snapToGrid w:val="0"/>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2</w:t>
                          </w:r>
                          <w:r>
                            <w:rPr>
                              <w:rFonts w:hint="eastAsia" w:asciiTheme="minorEastAsia" w:hAnsiTheme="minorEastAsia" w:cstheme="minorEastAsia"/>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97.3pt;margin-top:-11.15pt;height:17.3pt;width:21pt;mso-position-horizontal-relative:margin;z-index:251658240;mso-width-relative:page;mso-height-relative:page;" filled="f" stroked="f" coordsize="21600,21600" o:gfxdata="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N/gg1LY&#10;AAAACgEAAA8AAAAAAAAAAQAgAAAAIgAAAGRycy9kb3ducmV2LnhtbFBLAQIUABQAAAAIAIdO4kCZ&#10;+MJjIAIAACEEAAAOAAAAAAAAAAEAIAAAACcBAABkcnMvZTJvRG9jLnhtbFBLBQYAAAAABgAGAFkB&#10;AAC5BQAAAAA=&#10;">
              <v:fill on="f" focussize="0,0"/>
              <v:stroke on="f" weight="0.5pt"/>
              <v:imagedata o:title=""/>
              <o:lock v:ext="edit" aspectratio="f"/>
              <v:textbox inset="0mm,0mm,0mm,0mm">
                <w:txbxContent>
                  <w:p>
                    <w:pPr>
                      <w:snapToGrid w:val="0"/>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2</w:t>
                    </w:r>
                    <w:r>
                      <w:rPr>
                        <w:rFonts w:hint="eastAsia" w:asciiTheme="minorEastAsia" w:hAnsiTheme="minorEastAsia" w:cstheme="minorEastAsia"/>
                        <w:sz w:val="28"/>
                        <w:szCs w:val="28"/>
                      </w:rPr>
                      <w:fldChar w:fldCharType="end"/>
                    </w:r>
                  </w:p>
                </w:txbxContent>
              </v:textbox>
            </v:shape>
          </w:pict>
        </mc:Fallback>
      </mc:AlternateConten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C5A12F1"/>
    <w:multiLevelType w:val="singleLevel"/>
    <w:tmpl w:val="EC5A12F1"/>
    <w:lvl w:ilvl="0" w:tentative="0">
      <w:start w:val="3"/>
      <w:numFmt w:val="chineseCounting"/>
      <w:suff w:val="nothing"/>
      <w:lvlText w:val="（%1）"/>
      <w:lvlJc w:val="left"/>
      <w:rPr>
        <w:rFonts w:hint="eastAsia"/>
      </w:rPr>
    </w:lvl>
  </w:abstractNum>
  <w:abstractNum w:abstractNumId="1">
    <w:nsid w:val="356C9440"/>
    <w:multiLevelType w:val="singleLevel"/>
    <w:tmpl w:val="356C9440"/>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AAE"/>
    <w:rsid w:val="0000669C"/>
    <w:rsid w:val="00117017"/>
    <w:rsid w:val="00133498"/>
    <w:rsid w:val="001909B6"/>
    <w:rsid w:val="001C184E"/>
    <w:rsid w:val="001F611D"/>
    <w:rsid w:val="002072B3"/>
    <w:rsid w:val="002524AE"/>
    <w:rsid w:val="00294A6A"/>
    <w:rsid w:val="002A04E1"/>
    <w:rsid w:val="00333775"/>
    <w:rsid w:val="00360099"/>
    <w:rsid w:val="00434B92"/>
    <w:rsid w:val="00435E14"/>
    <w:rsid w:val="00436AAE"/>
    <w:rsid w:val="00472A5C"/>
    <w:rsid w:val="004B078E"/>
    <w:rsid w:val="00543148"/>
    <w:rsid w:val="00550571"/>
    <w:rsid w:val="00580B15"/>
    <w:rsid w:val="005C2A84"/>
    <w:rsid w:val="005E572B"/>
    <w:rsid w:val="00626FE8"/>
    <w:rsid w:val="00647D00"/>
    <w:rsid w:val="006E3270"/>
    <w:rsid w:val="006F2906"/>
    <w:rsid w:val="006F51B5"/>
    <w:rsid w:val="00723910"/>
    <w:rsid w:val="00783E97"/>
    <w:rsid w:val="00874A1A"/>
    <w:rsid w:val="008B724B"/>
    <w:rsid w:val="008B7EE3"/>
    <w:rsid w:val="009462A7"/>
    <w:rsid w:val="00A50DFA"/>
    <w:rsid w:val="00A705FE"/>
    <w:rsid w:val="00AE2652"/>
    <w:rsid w:val="00AF60EB"/>
    <w:rsid w:val="00B452DE"/>
    <w:rsid w:val="00B604E0"/>
    <w:rsid w:val="00BA19B7"/>
    <w:rsid w:val="00BD458D"/>
    <w:rsid w:val="00CB2F42"/>
    <w:rsid w:val="00D210CD"/>
    <w:rsid w:val="00D740D1"/>
    <w:rsid w:val="00E72341"/>
    <w:rsid w:val="00E8579C"/>
    <w:rsid w:val="00EB240C"/>
    <w:rsid w:val="00F00635"/>
    <w:rsid w:val="00F32C25"/>
    <w:rsid w:val="00F77944"/>
    <w:rsid w:val="00FB7966"/>
    <w:rsid w:val="018F0EB5"/>
    <w:rsid w:val="01A659FD"/>
    <w:rsid w:val="0214475B"/>
    <w:rsid w:val="03806E56"/>
    <w:rsid w:val="04BE6560"/>
    <w:rsid w:val="0520605B"/>
    <w:rsid w:val="05C07895"/>
    <w:rsid w:val="06C752ED"/>
    <w:rsid w:val="06EA4CBF"/>
    <w:rsid w:val="07292362"/>
    <w:rsid w:val="085F0A07"/>
    <w:rsid w:val="089E18DA"/>
    <w:rsid w:val="08DE399E"/>
    <w:rsid w:val="099C7309"/>
    <w:rsid w:val="0A6A128C"/>
    <w:rsid w:val="0A7838E4"/>
    <w:rsid w:val="0A951FEA"/>
    <w:rsid w:val="0AB91C80"/>
    <w:rsid w:val="0AC537D4"/>
    <w:rsid w:val="0B0C5801"/>
    <w:rsid w:val="0B1F6A06"/>
    <w:rsid w:val="0B7B5940"/>
    <w:rsid w:val="0C251D7D"/>
    <w:rsid w:val="0C7F5AC8"/>
    <w:rsid w:val="0C8B0D26"/>
    <w:rsid w:val="0D750114"/>
    <w:rsid w:val="0D9C7BCE"/>
    <w:rsid w:val="0DF163D7"/>
    <w:rsid w:val="0E070CA8"/>
    <w:rsid w:val="0E0906B2"/>
    <w:rsid w:val="0E124C6B"/>
    <w:rsid w:val="0E1F26EF"/>
    <w:rsid w:val="0F120FB4"/>
    <w:rsid w:val="0F28178C"/>
    <w:rsid w:val="0F666292"/>
    <w:rsid w:val="10142A33"/>
    <w:rsid w:val="10DD582A"/>
    <w:rsid w:val="111C202C"/>
    <w:rsid w:val="1147131C"/>
    <w:rsid w:val="11B505F5"/>
    <w:rsid w:val="127637E4"/>
    <w:rsid w:val="1413481B"/>
    <w:rsid w:val="142F27C1"/>
    <w:rsid w:val="14BB0831"/>
    <w:rsid w:val="14EF6990"/>
    <w:rsid w:val="15091F0D"/>
    <w:rsid w:val="151C4147"/>
    <w:rsid w:val="162D151C"/>
    <w:rsid w:val="167C32BC"/>
    <w:rsid w:val="16B70C50"/>
    <w:rsid w:val="16DF1245"/>
    <w:rsid w:val="173521AC"/>
    <w:rsid w:val="17E2221A"/>
    <w:rsid w:val="185776E3"/>
    <w:rsid w:val="19491552"/>
    <w:rsid w:val="19796132"/>
    <w:rsid w:val="197E53CD"/>
    <w:rsid w:val="19900AEF"/>
    <w:rsid w:val="19D35EAF"/>
    <w:rsid w:val="19DC3790"/>
    <w:rsid w:val="1A865B47"/>
    <w:rsid w:val="1A935E19"/>
    <w:rsid w:val="1B5B3C98"/>
    <w:rsid w:val="1BF80701"/>
    <w:rsid w:val="1C124B27"/>
    <w:rsid w:val="1C2C35D6"/>
    <w:rsid w:val="1DD01502"/>
    <w:rsid w:val="1E3E445F"/>
    <w:rsid w:val="1E6A290F"/>
    <w:rsid w:val="1EC31CB4"/>
    <w:rsid w:val="1EC82880"/>
    <w:rsid w:val="1FC308AF"/>
    <w:rsid w:val="20044AD4"/>
    <w:rsid w:val="213E2CCB"/>
    <w:rsid w:val="216A4E4E"/>
    <w:rsid w:val="216B42FC"/>
    <w:rsid w:val="21987E91"/>
    <w:rsid w:val="21A623AC"/>
    <w:rsid w:val="22D15794"/>
    <w:rsid w:val="23755AEB"/>
    <w:rsid w:val="23E124A3"/>
    <w:rsid w:val="247E77F1"/>
    <w:rsid w:val="249D0074"/>
    <w:rsid w:val="254C5202"/>
    <w:rsid w:val="2550326D"/>
    <w:rsid w:val="25787B46"/>
    <w:rsid w:val="26841100"/>
    <w:rsid w:val="26D81045"/>
    <w:rsid w:val="27863C53"/>
    <w:rsid w:val="278B6099"/>
    <w:rsid w:val="279B4E73"/>
    <w:rsid w:val="283972B6"/>
    <w:rsid w:val="28611F91"/>
    <w:rsid w:val="2878207C"/>
    <w:rsid w:val="298644FE"/>
    <w:rsid w:val="2A8840BD"/>
    <w:rsid w:val="2B385690"/>
    <w:rsid w:val="2B533600"/>
    <w:rsid w:val="2C330C87"/>
    <w:rsid w:val="2CAB059B"/>
    <w:rsid w:val="2CC02508"/>
    <w:rsid w:val="2D0F1218"/>
    <w:rsid w:val="2D2E2BD5"/>
    <w:rsid w:val="2E0204B0"/>
    <w:rsid w:val="2EA20E71"/>
    <w:rsid w:val="2EA76A84"/>
    <w:rsid w:val="2EEC6051"/>
    <w:rsid w:val="2F0C6C2D"/>
    <w:rsid w:val="2F265A9A"/>
    <w:rsid w:val="2F850D22"/>
    <w:rsid w:val="2F902381"/>
    <w:rsid w:val="2FC907F2"/>
    <w:rsid w:val="2FE00133"/>
    <w:rsid w:val="301F37EF"/>
    <w:rsid w:val="302547FC"/>
    <w:rsid w:val="3061656D"/>
    <w:rsid w:val="3101477F"/>
    <w:rsid w:val="314D5BFE"/>
    <w:rsid w:val="3185705F"/>
    <w:rsid w:val="31933271"/>
    <w:rsid w:val="31FD7911"/>
    <w:rsid w:val="331B6FAF"/>
    <w:rsid w:val="33A52465"/>
    <w:rsid w:val="33EE7CBE"/>
    <w:rsid w:val="343C655F"/>
    <w:rsid w:val="346B0240"/>
    <w:rsid w:val="34700DB6"/>
    <w:rsid w:val="35321A12"/>
    <w:rsid w:val="35E4611F"/>
    <w:rsid w:val="362D1A77"/>
    <w:rsid w:val="368921C4"/>
    <w:rsid w:val="369757D7"/>
    <w:rsid w:val="36AB7B9A"/>
    <w:rsid w:val="36DC0C45"/>
    <w:rsid w:val="36F47EB2"/>
    <w:rsid w:val="378E5CD6"/>
    <w:rsid w:val="37D93916"/>
    <w:rsid w:val="383B44B6"/>
    <w:rsid w:val="38857C9F"/>
    <w:rsid w:val="38991D39"/>
    <w:rsid w:val="39A27FDE"/>
    <w:rsid w:val="39B404CB"/>
    <w:rsid w:val="3A196543"/>
    <w:rsid w:val="3A3C1EB3"/>
    <w:rsid w:val="3A636206"/>
    <w:rsid w:val="3B4C66F9"/>
    <w:rsid w:val="3B610543"/>
    <w:rsid w:val="3B830BB5"/>
    <w:rsid w:val="3B8347AB"/>
    <w:rsid w:val="3C4B022B"/>
    <w:rsid w:val="3CE51298"/>
    <w:rsid w:val="3D822ACE"/>
    <w:rsid w:val="3E033079"/>
    <w:rsid w:val="3E2F5EF0"/>
    <w:rsid w:val="3ED40D7E"/>
    <w:rsid w:val="3F24655E"/>
    <w:rsid w:val="3F582B5B"/>
    <w:rsid w:val="3F884A2F"/>
    <w:rsid w:val="3FC91CA8"/>
    <w:rsid w:val="40AC44FA"/>
    <w:rsid w:val="40E41598"/>
    <w:rsid w:val="413606A8"/>
    <w:rsid w:val="420D4DCB"/>
    <w:rsid w:val="424563CF"/>
    <w:rsid w:val="42752719"/>
    <w:rsid w:val="427E791F"/>
    <w:rsid w:val="42B65957"/>
    <w:rsid w:val="42E80FD8"/>
    <w:rsid w:val="43103373"/>
    <w:rsid w:val="43DE18E2"/>
    <w:rsid w:val="4464419F"/>
    <w:rsid w:val="44C31F35"/>
    <w:rsid w:val="45082A46"/>
    <w:rsid w:val="45293588"/>
    <w:rsid w:val="45431DCE"/>
    <w:rsid w:val="45735A24"/>
    <w:rsid w:val="45DD599C"/>
    <w:rsid w:val="460F4E44"/>
    <w:rsid w:val="479E2195"/>
    <w:rsid w:val="47C53C4E"/>
    <w:rsid w:val="481F45E9"/>
    <w:rsid w:val="48CE6BCF"/>
    <w:rsid w:val="49150F98"/>
    <w:rsid w:val="49EA37A3"/>
    <w:rsid w:val="4A8630C6"/>
    <w:rsid w:val="4A8A52C7"/>
    <w:rsid w:val="4C574A53"/>
    <w:rsid w:val="4C8E4598"/>
    <w:rsid w:val="4CA36921"/>
    <w:rsid w:val="4DDD0B98"/>
    <w:rsid w:val="4E22609C"/>
    <w:rsid w:val="4EA63B9B"/>
    <w:rsid w:val="4FAB0CD5"/>
    <w:rsid w:val="50F1414E"/>
    <w:rsid w:val="513C117F"/>
    <w:rsid w:val="51A76313"/>
    <w:rsid w:val="520D54AE"/>
    <w:rsid w:val="52BB30F9"/>
    <w:rsid w:val="537062BE"/>
    <w:rsid w:val="5388796D"/>
    <w:rsid w:val="53913079"/>
    <w:rsid w:val="53D51A9C"/>
    <w:rsid w:val="53E940B3"/>
    <w:rsid w:val="540C6C98"/>
    <w:rsid w:val="541F3759"/>
    <w:rsid w:val="54BA44B7"/>
    <w:rsid w:val="55342965"/>
    <w:rsid w:val="555A5050"/>
    <w:rsid w:val="55DE1A69"/>
    <w:rsid w:val="563315A6"/>
    <w:rsid w:val="57DE0984"/>
    <w:rsid w:val="58411B60"/>
    <w:rsid w:val="584B78C9"/>
    <w:rsid w:val="58537884"/>
    <w:rsid w:val="58BE208B"/>
    <w:rsid w:val="58DE119F"/>
    <w:rsid w:val="59EC0A87"/>
    <w:rsid w:val="59F350E0"/>
    <w:rsid w:val="5A6D26C3"/>
    <w:rsid w:val="5B4C052B"/>
    <w:rsid w:val="5B5D01CF"/>
    <w:rsid w:val="5BAB2B0B"/>
    <w:rsid w:val="5BC628BE"/>
    <w:rsid w:val="5C7D4CBE"/>
    <w:rsid w:val="5CDF5245"/>
    <w:rsid w:val="5D273805"/>
    <w:rsid w:val="5D423510"/>
    <w:rsid w:val="5DB315DC"/>
    <w:rsid w:val="5E333BC7"/>
    <w:rsid w:val="5E484462"/>
    <w:rsid w:val="5E4E52BA"/>
    <w:rsid w:val="5E8101E9"/>
    <w:rsid w:val="5E93613B"/>
    <w:rsid w:val="5EFC129C"/>
    <w:rsid w:val="5F5A41DD"/>
    <w:rsid w:val="6046122E"/>
    <w:rsid w:val="607619DB"/>
    <w:rsid w:val="608E0B69"/>
    <w:rsid w:val="60F85A7B"/>
    <w:rsid w:val="610D3B8D"/>
    <w:rsid w:val="61BD6DC0"/>
    <w:rsid w:val="62342FCB"/>
    <w:rsid w:val="630A17EE"/>
    <w:rsid w:val="638735EA"/>
    <w:rsid w:val="64F56354"/>
    <w:rsid w:val="65684289"/>
    <w:rsid w:val="656F26C1"/>
    <w:rsid w:val="659A476F"/>
    <w:rsid w:val="667E79E7"/>
    <w:rsid w:val="66C63750"/>
    <w:rsid w:val="67AD39E4"/>
    <w:rsid w:val="6816631A"/>
    <w:rsid w:val="68577195"/>
    <w:rsid w:val="685D2C90"/>
    <w:rsid w:val="68846963"/>
    <w:rsid w:val="688B3106"/>
    <w:rsid w:val="68B43E79"/>
    <w:rsid w:val="68FC3F1F"/>
    <w:rsid w:val="69C22F8F"/>
    <w:rsid w:val="69C4131D"/>
    <w:rsid w:val="69C9546C"/>
    <w:rsid w:val="6A8B7A45"/>
    <w:rsid w:val="6ABD13EE"/>
    <w:rsid w:val="6B863CDA"/>
    <w:rsid w:val="6C1F171B"/>
    <w:rsid w:val="6D3128B8"/>
    <w:rsid w:val="6D7265C1"/>
    <w:rsid w:val="6D7B180E"/>
    <w:rsid w:val="6DCB3B6A"/>
    <w:rsid w:val="6E95549C"/>
    <w:rsid w:val="6EB10EEF"/>
    <w:rsid w:val="6FF85435"/>
    <w:rsid w:val="70166D5D"/>
    <w:rsid w:val="70D957F4"/>
    <w:rsid w:val="70FB4BDE"/>
    <w:rsid w:val="72875A53"/>
    <w:rsid w:val="72A14DC4"/>
    <w:rsid w:val="73295D78"/>
    <w:rsid w:val="740101C9"/>
    <w:rsid w:val="74304B3D"/>
    <w:rsid w:val="74572233"/>
    <w:rsid w:val="76DC34F0"/>
    <w:rsid w:val="7730322D"/>
    <w:rsid w:val="774569D2"/>
    <w:rsid w:val="776C3213"/>
    <w:rsid w:val="7779020B"/>
    <w:rsid w:val="784F0659"/>
    <w:rsid w:val="78517930"/>
    <w:rsid w:val="78FA0750"/>
    <w:rsid w:val="792F5838"/>
    <w:rsid w:val="7948704B"/>
    <w:rsid w:val="79A52C8F"/>
    <w:rsid w:val="7A502F2E"/>
    <w:rsid w:val="7A734A03"/>
    <w:rsid w:val="7A871D3C"/>
    <w:rsid w:val="7AC22DFD"/>
    <w:rsid w:val="7B226EFA"/>
    <w:rsid w:val="7B5C3C34"/>
    <w:rsid w:val="7D6460F1"/>
    <w:rsid w:val="7E370BE3"/>
    <w:rsid w:val="7ED27BDD"/>
    <w:rsid w:val="7ED85D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9"/>
    <w:pPr>
      <w:spacing w:before="100" w:beforeAutospacing="1" w:after="100" w:afterAutospacing="1"/>
      <w:jc w:val="left"/>
      <w:outlineLvl w:val="0"/>
    </w:pPr>
    <w:rPr>
      <w:rFonts w:ascii="宋体" w:hAnsi="宋体" w:cs="宋体"/>
      <w:b/>
      <w:bCs/>
      <w:kern w:val="44"/>
      <w:sz w:val="48"/>
      <w:szCs w:val="48"/>
    </w:rPr>
  </w:style>
  <w:style w:type="paragraph" w:styleId="4">
    <w:name w:val="heading 2"/>
    <w:basedOn w:val="1"/>
    <w:next w:val="1"/>
    <w:unhideWhenUsed/>
    <w:qFormat/>
    <w:uiPriority w:val="9"/>
    <w:pPr>
      <w:spacing w:before="100" w:beforeAutospacing="1" w:after="100" w:afterAutospacing="1"/>
      <w:jc w:val="left"/>
      <w:outlineLvl w:val="1"/>
    </w:pPr>
    <w:rPr>
      <w:rFonts w:hint="eastAsia" w:ascii="宋体" w:hAnsi="宋体" w:eastAsia="宋体" w:cs="Times New Roman"/>
      <w:b/>
      <w:kern w:val="0"/>
      <w:sz w:val="36"/>
      <w:szCs w:val="36"/>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qFormat/>
    <w:uiPriority w:val="0"/>
    <w:rPr>
      <w:sz w:val="28"/>
    </w:rPr>
  </w:style>
  <w:style w:type="paragraph" w:styleId="5">
    <w:name w:val="Normal Indent"/>
    <w:basedOn w:val="1"/>
    <w:next w:val="1"/>
    <w:unhideWhenUsed/>
    <w:qFormat/>
    <w:uiPriority w:val="99"/>
    <w:pPr>
      <w:ind w:firstLine="420"/>
    </w:pPr>
    <w:rPr>
      <w:sz w:val="24"/>
      <w:szCs w:val="20"/>
    </w:rPr>
  </w:style>
  <w:style w:type="paragraph" w:styleId="6">
    <w:name w:val="Plain Text"/>
    <w:basedOn w:val="1"/>
    <w:qFormat/>
    <w:uiPriority w:val="0"/>
    <w:rPr>
      <w:rFonts w:ascii="宋体" w:hAnsi="Courier New"/>
      <w:kern w:val="0"/>
      <w:sz w:val="20"/>
      <w:szCs w:val="20"/>
    </w:rPr>
  </w:style>
  <w:style w:type="paragraph" w:styleId="7">
    <w:name w:val="Body Text Indent 2"/>
    <w:basedOn w:val="1"/>
    <w:unhideWhenUsed/>
    <w:qFormat/>
    <w:uiPriority w:val="99"/>
    <w:pPr>
      <w:spacing w:before="100" w:beforeAutospacing="1" w:after="120" w:line="480" w:lineRule="auto"/>
      <w:ind w:left="420" w:leftChars="200"/>
    </w:pPr>
  </w:style>
  <w:style w:type="paragraph" w:styleId="8">
    <w:name w:val="Balloon Text"/>
    <w:basedOn w:val="1"/>
    <w:link w:val="19"/>
    <w:unhideWhenUsed/>
    <w:qFormat/>
    <w:uiPriority w:val="99"/>
    <w:rPr>
      <w:sz w:val="18"/>
      <w:szCs w:val="18"/>
    </w:rPr>
  </w:style>
  <w:style w:type="paragraph" w:styleId="9">
    <w:name w:val="footer"/>
    <w:basedOn w:val="1"/>
    <w:unhideWhenUsed/>
    <w:qFormat/>
    <w:uiPriority w:val="99"/>
    <w:pPr>
      <w:tabs>
        <w:tab w:val="center" w:pos="4153"/>
        <w:tab w:val="right" w:pos="8306"/>
      </w:tabs>
      <w:snapToGrid w:val="0"/>
      <w:jc w:val="left"/>
    </w:pPr>
    <w:rPr>
      <w:sz w:val="18"/>
    </w:rPr>
  </w:style>
  <w:style w:type="paragraph" w:styleId="10">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5">
    <w:name w:val="FollowedHyperlink"/>
    <w:basedOn w:val="14"/>
    <w:semiHidden/>
    <w:unhideWhenUsed/>
    <w:uiPriority w:val="99"/>
    <w:rPr>
      <w:color w:val="800080"/>
      <w:u w:val="none"/>
    </w:rPr>
  </w:style>
  <w:style w:type="character" w:styleId="16">
    <w:name w:val="Emphasis"/>
    <w:basedOn w:val="14"/>
    <w:qFormat/>
    <w:uiPriority w:val="20"/>
  </w:style>
  <w:style w:type="character" w:styleId="17">
    <w:name w:val="Hyperlink"/>
    <w:basedOn w:val="14"/>
    <w:semiHidden/>
    <w:unhideWhenUsed/>
    <w:uiPriority w:val="99"/>
    <w:rPr>
      <w:color w:val="0000FF"/>
      <w:u w:val="none"/>
    </w:rPr>
  </w:style>
  <w:style w:type="paragraph" w:customStyle="1" w:styleId="18">
    <w:name w:val="报告正文"/>
    <w:basedOn w:val="1"/>
    <w:qFormat/>
    <w:uiPriority w:val="0"/>
    <w:pPr>
      <w:adjustRightInd w:val="0"/>
      <w:snapToGrid w:val="0"/>
      <w:spacing w:beforeLines="50" w:afterLines="50"/>
    </w:pPr>
    <w:rPr>
      <w:spacing w:val="4"/>
      <w:sz w:val="24"/>
    </w:rPr>
  </w:style>
  <w:style w:type="character" w:customStyle="1" w:styleId="19">
    <w:name w:val="批注框文本 Char"/>
    <w:basedOn w:val="14"/>
    <w:link w:val="8"/>
    <w:semiHidden/>
    <w:qFormat/>
    <w:uiPriority w:val="99"/>
    <w:rPr>
      <w:rFonts w:asciiTheme="minorHAnsi" w:hAnsiTheme="minorHAnsi" w:eastAsiaTheme="minorEastAsia" w:cstheme="minorBidi"/>
      <w:kern w:val="2"/>
      <w:sz w:val="18"/>
      <w:szCs w:val="18"/>
    </w:rPr>
  </w:style>
  <w:style w:type="paragraph" w:customStyle="1" w:styleId="20">
    <w:name w:val="内容"/>
    <w:basedOn w:val="1"/>
    <w:qFormat/>
    <w:uiPriority w:val="0"/>
    <w:pPr>
      <w:tabs>
        <w:tab w:val="left" w:pos="4404"/>
      </w:tabs>
      <w:spacing w:line="480" w:lineRule="exact"/>
      <w:ind w:firstLine="520" w:firstLineChars="200"/>
    </w:pPr>
    <w:rPr>
      <w:rFonts w:hAnsi="宋体"/>
      <w:sz w:val="26"/>
      <w:szCs w:val="26"/>
    </w:rPr>
  </w:style>
  <w:style w:type="paragraph" w:styleId="21">
    <w:name w:val="List Paragraph"/>
    <w:basedOn w:val="1"/>
    <w:unhideWhenUsed/>
    <w:qFormat/>
    <w:uiPriority w:val="99"/>
    <w:pPr>
      <w:ind w:firstLine="420" w:firstLineChars="200"/>
    </w:pPr>
  </w:style>
  <w:style w:type="paragraph" w:customStyle="1" w:styleId="22">
    <w:name w:val="表标题"/>
    <w:next w:val="1"/>
    <w:qFormat/>
    <w:uiPriority w:val="0"/>
    <w:pPr>
      <w:spacing w:line="360" w:lineRule="auto"/>
      <w:jc w:val="center"/>
    </w:pPr>
    <w:rPr>
      <w:rFonts w:ascii="Times New Roman" w:hAnsi="Times New Roman" w:eastAsia="宋体" w:cs="宋体"/>
      <w:b/>
      <w:kern w:val="2"/>
      <w:sz w:val="24"/>
      <w:szCs w:val="24"/>
      <w:lang w:val="en-US" w:eastAsia="zh-CN" w:bidi="ar-SA"/>
    </w:rPr>
  </w:style>
  <w:style w:type="character" w:customStyle="1" w:styleId="23">
    <w:name w:val="disabled"/>
    <w:basedOn w:val="14"/>
    <w:uiPriority w:val="0"/>
    <w:rPr>
      <w:vanish/>
    </w:rPr>
  </w:style>
  <w:style w:type="character" w:customStyle="1" w:styleId="24">
    <w:name w:val="znspantitle"/>
    <w:basedOn w:val="14"/>
    <w:qFormat/>
    <w:uiPriority w:val="0"/>
    <w:rPr>
      <w:b/>
      <w:color w:val="333333"/>
    </w:rPr>
  </w:style>
  <w:style w:type="character" w:customStyle="1" w:styleId="25">
    <w:name w:val="bsharetext"/>
    <w:basedOn w:val="1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284</Words>
  <Characters>1623</Characters>
  <Lines>13</Lines>
  <Paragraphs>3</Paragraphs>
  <TotalTime>9</TotalTime>
  <ScaleCrop>false</ScaleCrop>
  <LinksUpToDate>false</LinksUpToDate>
  <CharactersWithSpaces>1904</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2016-11-18T07:38:00Z</dcterms:created>
  <dc:creator>lenovo</dc:creator>
  <cp:lastModifiedBy>12345</cp:lastModifiedBy>
  <cp:lastPrinted>2020-05-29T01:27:00Z</cp:lastPrinted>
  <dcterms:modified xsi:type="dcterms:W3CDTF">2020-07-14T07:46:23Z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