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56" w:after="156"/>
      </w:pPr>
    </w:p>
    <w:p>
      <w:pPr>
        <w:pStyle w:val="14"/>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12</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德钦县城其登阁至飞来寺人行应急疏散通道建设项目</w:t>
      </w:r>
      <w:r>
        <w:rPr>
          <w:rFonts w:hint="eastAsia" w:ascii="黑体" w:hAnsi="黑体" w:eastAsia="黑体" w:cs="黑体"/>
          <w:sz w:val="44"/>
          <w:szCs w:val="44"/>
        </w:rPr>
        <w:t>环境影响报告表</w:t>
      </w:r>
      <w:r>
        <w:rPr>
          <w:rFonts w:hint="eastAsia" w:ascii="黑体" w:hAnsi="黑体" w:eastAsia="黑体" w:cs="黑体"/>
          <w:sz w:val="44"/>
          <w:szCs w:val="44"/>
          <w:lang w:eastAsia="zh-CN"/>
        </w:rPr>
        <w:t>》</w:t>
      </w:r>
    </w:p>
    <w:p>
      <w:pPr>
        <w:snapToGrid w:val="0"/>
        <w:jc w:val="center"/>
        <w:rPr>
          <w:rFonts w:hint="eastAsia" w:ascii="黑体" w:hAnsi="黑体" w:eastAsia="黑体" w:cs="黑体"/>
          <w:sz w:val="44"/>
          <w:szCs w:val="44"/>
        </w:rPr>
      </w:pP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德钦县住房和城乡建设局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你单位报送的《关于对</w:t>
      </w:r>
      <w:r>
        <w:rPr>
          <w:rFonts w:hint="eastAsia" w:ascii="仿宋" w:hAnsi="仿宋" w:eastAsia="仿宋" w:cs="仿宋"/>
          <w:sz w:val="32"/>
          <w:szCs w:val="32"/>
          <w:lang w:val="en-US" w:eastAsia="zh-CN"/>
        </w:rPr>
        <w:t>德钦县城其登阁至飞来寺人行应急疏散通道建设项目</w:t>
      </w:r>
      <w:r>
        <w:rPr>
          <w:rFonts w:hint="eastAsia" w:ascii="仿宋" w:hAnsi="仿宋" w:eastAsia="仿宋" w:cs="仿宋"/>
          <w:sz w:val="32"/>
          <w:szCs w:val="32"/>
          <w:lang w:eastAsia="zh-CN"/>
        </w:rPr>
        <w:t>环境影响报告表给予环评批复的请示》（德住建发〔2020〕</w:t>
      </w:r>
      <w:r>
        <w:rPr>
          <w:rFonts w:hint="eastAsia" w:ascii="仿宋" w:hAnsi="仿宋" w:eastAsia="仿宋" w:cs="仿宋"/>
          <w:sz w:val="32"/>
          <w:szCs w:val="32"/>
          <w:lang w:val="en-US" w:eastAsia="zh-CN"/>
        </w:rPr>
        <w:t>72号</w:t>
      </w:r>
      <w:r>
        <w:rPr>
          <w:rFonts w:hint="eastAsia" w:ascii="仿宋" w:hAnsi="仿宋" w:eastAsia="仿宋" w:cs="仿宋"/>
          <w:sz w:val="32"/>
          <w:szCs w:val="32"/>
          <w:lang w:eastAsia="zh-CN"/>
        </w:rPr>
        <w:t>）文件已收悉，</w:t>
      </w:r>
      <w:r>
        <w:rPr>
          <w:rFonts w:hint="eastAsia" w:ascii="仿宋" w:hAnsi="仿宋" w:eastAsia="仿宋" w:cs="仿宋"/>
          <w:sz w:val="32"/>
          <w:szCs w:val="32"/>
        </w:rPr>
        <w:t>经研究，现批复如下：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napToGrid w:val="0"/>
          <w:color w:val="auto"/>
          <w:kern w:val="0"/>
          <w:sz w:val="24"/>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项</w:t>
      </w:r>
      <w:r>
        <w:rPr>
          <w:rFonts w:hint="eastAsia" w:ascii="仿宋" w:hAnsi="仿宋" w:eastAsia="仿宋" w:cs="仿宋"/>
          <w:sz w:val="32"/>
          <w:szCs w:val="32"/>
          <w:lang w:val="en-US" w:eastAsia="zh-CN"/>
        </w:rPr>
        <w:t>目基本情况。项目位于德钦县城，项目代码：2019-533422-54-01-047008，项目起点为其登阁朝圣应急避险广场，终点为飞来寺应急避难广场，总用地面积30140㎡，人行应急木质栈道总长2700m，宽2.4m，应急广场8个，面积23660㎡。项目总投资4237.40万元，其中环保投资为161.8万元，占项目总投资的3.82%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德钦县</w:t>
      </w:r>
      <w:r>
        <w:rPr>
          <w:rFonts w:hint="eastAsia" w:ascii="仿宋" w:hAnsi="仿宋" w:eastAsia="仿宋" w:cs="仿宋"/>
          <w:sz w:val="32"/>
          <w:szCs w:val="32"/>
        </w:rPr>
        <w:t>发展和改革委员会以</w:t>
      </w:r>
      <w:r>
        <w:rPr>
          <w:rFonts w:hint="eastAsia" w:ascii="仿宋" w:hAnsi="仿宋" w:eastAsia="仿宋" w:cs="仿宋"/>
          <w:sz w:val="32"/>
          <w:szCs w:val="32"/>
          <w:lang w:val="en-US" w:eastAsia="zh-CN"/>
        </w:rPr>
        <w:t>德</w:t>
      </w:r>
      <w:r>
        <w:rPr>
          <w:rFonts w:hint="eastAsia" w:ascii="仿宋" w:hAnsi="仿宋" w:eastAsia="仿宋" w:cs="仿宋"/>
          <w:sz w:val="32"/>
          <w:szCs w:val="32"/>
        </w:rPr>
        <w:t>发改</w:t>
      </w:r>
      <w:r>
        <w:rPr>
          <w:rFonts w:hint="eastAsia" w:ascii="仿宋" w:hAnsi="仿宋" w:eastAsia="仿宋" w:cs="仿宋"/>
          <w:sz w:val="32"/>
          <w:szCs w:val="32"/>
          <w:lang w:val="en-US" w:eastAsia="zh-CN"/>
        </w:rPr>
        <w:t>投资</w:t>
      </w:r>
      <w:r>
        <w:rPr>
          <w:rFonts w:hint="eastAsia" w:ascii="仿宋" w:hAnsi="仿宋" w:eastAsia="仿宋" w:cs="仿宋"/>
          <w:sz w:val="32"/>
          <w:szCs w:val="32"/>
        </w:rPr>
        <w:t>〔20</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号文对项目可行性研究报告进行了批复。建设单位在认真落实《报告表》提出的各项污染治理和生态保护措施前提下，我局同意你</w:t>
      </w:r>
      <w:r>
        <w:rPr>
          <w:rFonts w:hint="eastAsia" w:ascii="仿宋" w:hAnsi="仿宋" w:eastAsia="仿宋" w:cs="仿宋"/>
          <w:sz w:val="32"/>
          <w:szCs w:val="32"/>
          <w:lang w:eastAsia="zh-CN"/>
        </w:rPr>
        <w:t>单位</w:t>
      </w:r>
      <w:r>
        <w:rPr>
          <w:rFonts w:hint="eastAsia" w:ascii="仿宋" w:hAnsi="仿宋" w:eastAsia="仿宋" w:cs="仿宋"/>
          <w:sz w:val="32"/>
          <w:szCs w:val="32"/>
        </w:rPr>
        <w:t>按照《报告表》中所列的项目性质、规模、地点、拟采取的环境保护措施及本批复的要求进行建设。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二、在项目环境管理中，</w:t>
      </w:r>
      <w:r>
        <w:rPr>
          <w:rFonts w:hint="eastAsia" w:ascii="仿宋" w:hAnsi="仿宋" w:eastAsia="仿宋" w:cs="仿宋"/>
          <w:sz w:val="32"/>
          <w:szCs w:val="32"/>
          <w:lang w:eastAsia="zh-CN"/>
        </w:rPr>
        <w:t>进一步优化设计</w:t>
      </w:r>
      <w:r>
        <w:rPr>
          <w:rFonts w:hint="eastAsia" w:ascii="仿宋_GB2312" w:eastAsia="仿宋_GB2312" w:hAnsiTheme="minorHAnsi" w:cstheme="minorBidi"/>
          <w:kern w:val="2"/>
          <w:sz w:val="32"/>
          <w:szCs w:val="22"/>
          <w:lang w:val="en-US" w:eastAsia="zh-CN" w:bidi="ar-SA"/>
        </w:rPr>
        <w:t>，</w:t>
      </w:r>
      <w:r>
        <w:rPr>
          <w:rFonts w:hint="eastAsia" w:ascii="仿宋_GB2312" w:eastAsia="仿宋_GB2312" w:cstheme="minorBidi"/>
          <w:kern w:val="2"/>
          <w:sz w:val="32"/>
          <w:szCs w:val="22"/>
          <w:lang w:val="en-US" w:eastAsia="zh-CN" w:bidi="ar-SA"/>
        </w:rPr>
        <w:t>高标准建设管理，</w:t>
      </w:r>
      <w:r>
        <w:rPr>
          <w:rFonts w:hint="eastAsia" w:ascii="仿宋_GB2312" w:eastAsia="仿宋_GB2312" w:hAnsiTheme="minorHAnsi" w:cstheme="minorBidi"/>
          <w:kern w:val="2"/>
          <w:sz w:val="32"/>
          <w:szCs w:val="22"/>
          <w:lang w:val="en-US" w:eastAsia="zh-CN" w:bidi="ar-SA"/>
        </w:rPr>
        <w:t>尽可能防止重复建设</w:t>
      </w:r>
      <w:r>
        <w:rPr>
          <w:rFonts w:hint="eastAsia" w:ascii="仿宋_GB2312" w:eastAsia="仿宋_GB2312" w:cstheme="minorBidi"/>
          <w:kern w:val="2"/>
          <w:sz w:val="32"/>
          <w:szCs w:val="22"/>
          <w:lang w:val="en-US" w:eastAsia="zh-CN" w:bidi="ar-SA"/>
        </w:rPr>
        <w:t>，同时</w:t>
      </w:r>
      <w:r>
        <w:rPr>
          <w:rFonts w:hint="eastAsia" w:ascii="仿宋" w:hAnsi="仿宋" w:eastAsia="仿宋" w:cs="仿宋"/>
          <w:sz w:val="32"/>
          <w:szCs w:val="32"/>
        </w:rPr>
        <w:t>必须逐项落实《报告表》</w:t>
      </w:r>
      <w:r>
        <w:rPr>
          <w:rFonts w:hint="eastAsia" w:ascii="仿宋" w:hAnsi="仿宋" w:eastAsia="仿宋" w:cs="仿宋"/>
          <w:sz w:val="32"/>
          <w:szCs w:val="32"/>
          <w:lang w:eastAsia="zh-CN"/>
        </w:rPr>
        <w:t>中的环保措施，</w:t>
      </w:r>
      <w:r>
        <w:rPr>
          <w:rFonts w:hint="eastAsia" w:ascii="仿宋" w:hAnsi="仿宋" w:eastAsia="仿宋" w:cs="仿宋"/>
          <w:sz w:val="32"/>
          <w:szCs w:val="32"/>
        </w:rPr>
        <w:t>在项目建设及运营过程中重点做好以下工作：</w:t>
      </w:r>
    </w:p>
    <w:p>
      <w:pPr>
        <w:keepNext w:val="0"/>
        <w:keepLines w:val="0"/>
        <w:pageBreakBefore w:val="0"/>
        <w:widowControl/>
        <w:kinsoku/>
        <w:wordWrap/>
        <w:overflowPunct/>
        <w:topLinePunct w:val="0"/>
        <w:autoSpaceDN/>
        <w:bidi w:val="0"/>
        <w:adjustRightInd/>
        <w:spacing w:line="560" w:lineRule="exact"/>
        <w:ind w:firstLine="640" w:firstLineChars="200"/>
        <w:jc w:val="left"/>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（一）项目在建设及营运期贯彻落实“预防为主、保护优先”的原则，严格落实环保投资，加强项目施工</w:t>
      </w:r>
      <w:r>
        <w:rPr>
          <w:rFonts w:hint="eastAsia" w:ascii="仿宋_GB2312" w:eastAsia="仿宋_GB2312" w:cstheme="minorBidi"/>
          <w:kern w:val="2"/>
          <w:sz w:val="32"/>
          <w:szCs w:val="22"/>
          <w:lang w:val="en-US" w:eastAsia="zh-CN" w:bidi="ar-SA"/>
        </w:rPr>
        <w:t>起运行期的</w:t>
      </w:r>
      <w:r>
        <w:rPr>
          <w:rFonts w:hint="eastAsia" w:ascii="仿宋_GB2312" w:eastAsia="仿宋_GB2312" w:hAnsiTheme="minorHAnsi" w:cstheme="minorBidi"/>
          <w:kern w:val="2"/>
          <w:sz w:val="32"/>
          <w:szCs w:val="22"/>
          <w:lang w:val="en-US" w:eastAsia="zh-CN" w:bidi="ar-SA"/>
        </w:rPr>
        <w:t>环境管理，做到规范、文明和科学作业</w:t>
      </w:r>
      <w:r>
        <w:rPr>
          <w:rFonts w:hint="eastAsia" w:ascii="仿宋_GB2312" w:eastAsia="仿宋_GB2312" w:cstheme="minorBidi"/>
          <w:kern w:val="2"/>
          <w:sz w:val="32"/>
          <w:szCs w:val="22"/>
          <w:lang w:val="en-US" w:eastAsia="zh-CN" w:bidi="ar-SA"/>
        </w:rPr>
        <w:t>，确保安全运行</w:t>
      </w:r>
      <w:r>
        <w:rPr>
          <w:rFonts w:hint="eastAsia" w:ascii="仿宋_GB2312" w:eastAsia="仿宋_GB2312" w:hAnsiTheme="minorHAnsi" w:cstheme="minorBidi"/>
          <w:kern w:val="2"/>
          <w:sz w:val="32"/>
          <w:szCs w:val="22"/>
          <w:lang w:val="en-US" w:eastAsia="zh-CN" w:bidi="ar-SA"/>
        </w:rPr>
        <w:t>。</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（二）做好固废污染防治工作。废土石要做到挖填方平衡，确需要外运则必须按政府指定地点堆存处置。减少开挖量，项目建设方应对建筑垃圾通过分类处置，生活垃圾做到日产日清</w:t>
      </w:r>
      <w:r>
        <w:rPr>
          <w:rFonts w:ascii="仿宋_GB2312" w:eastAsia="仿宋_GB2312" w:hAnsiTheme="minorHAnsi" w:cstheme="minorBidi"/>
          <w:kern w:val="2"/>
          <w:sz w:val="32"/>
          <w:szCs w:val="22"/>
          <w:lang w:val="en-US" w:eastAsia="zh-CN" w:bidi="ar-SA"/>
        </w:rPr>
        <w:t>。</w:t>
      </w:r>
      <w:r>
        <w:rPr>
          <w:rFonts w:hint="eastAsia" w:ascii="仿宋_GB2312" w:eastAsia="仿宋_GB2312" w:hAnsiTheme="minorHAnsi" w:cstheme="minorBidi"/>
          <w:kern w:val="2"/>
          <w:sz w:val="32"/>
          <w:szCs w:val="22"/>
          <w:lang w:val="en-US" w:eastAsia="zh-CN" w:bidi="ar-SA"/>
        </w:rPr>
        <w:t>合理设置宣传栏和垃圾分类收集箱，施工垃圾和生活垃圾分类收集规范处置，禁止随意丢弃，施工作业结束后及时拆除临时设施，加大公路沿线绿化美化，运行期加强维护管理工作，更新材料及时妥善处置，不得随意丢弃或处置。</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三）做好大气污染防治工作。重点加强对运输车辆的管理，所有进出入砂石、水泥、废土石等运输车辆应密封运输，严禁沿路泼洒，并低速或限速行驶，减少产尘量，定期洒水，防止扬尘污染。施工过程中遇到大风干燥日要加大洒水量和洒水次数，特殊情况需要立即停止施工作业，保障大气环境质量。</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（四）做好水污染防治工作。严格按照报告表要求，施工期废水沉淀处理后回用于项目区的降尘及绿化，不外排。运营期无废水产生。           </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五）做好噪声污染防治工作。合理安排施工时间，采用低噪声施工设备，确保施工噪声达到《建筑施工场界环境噪声排放标准》（GB12523-2011）规定的限值，符合2019年德钦县人民政府颁布的《德钦县声环境功能区划》，禁止在夜间22：00～6:00施工作业，若不可避免施工时，需提前向迪庆州生态环境局德钦分局和城市综合管理部门提出申请，并在受影响区域张贴公告协调处理相关事宜。</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rPr>
      </w:pPr>
      <w:r>
        <w:rPr>
          <w:rFonts w:hint="eastAsia" w:ascii="仿宋_GB2312" w:eastAsia="仿宋_GB2312" w:hAnsiTheme="minorHAnsi" w:cstheme="minorBidi"/>
          <w:kern w:val="2"/>
          <w:sz w:val="32"/>
          <w:szCs w:val="22"/>
          <w:lang w:val="en-US" w:eastAsia="zh-CN" w:bidi="ar-SA"/>
        </w:rPr>
        <w:t>（六）做好生态和景观环境保护。协调处理与自然、传统文化和民风民俗等相协调的景观效果，使用生态环保型材料，</w:t>
      </w:r>
      <w:r>
        <w:rPr>
          <w:rFonts w:ascii="仿宋_GB2312" w:eastAsia="仿宋_GB2312" w:hAnsiTheme="minorHAnsi" w:cstheme="minorBidi"/>
          <w:kern w:val="2"/>
          <w:sz w:val="32"/>
          <w:szCs w:val="22"/>
          <w:lang w:val="en-US" w:eastAsia="zh-CN" w:bidi="ar-SA"/>
        </w:rPr>
        <w:t>保护好沿线树木</w:t>
      </w:r>
      <w:r>
        <w:rPr>
          <w:rFonts w:hint="eastAsia" w:ascii="仿宋_GB2312" w:eastAsia="仿宋_GB2312" w:hAnsiTheme="minorHAnsi" w:cstheme="minorBidi"/>
          <w:kern w:val="2"/>
          <w:sz w:val="32"/>
          <w:szCs w:val="22"/>
          <w:lang w:val="en-US" w:eastAsia="zh-CN" w:bidi="ar-SA"/>
        </w:rPr>
        <w:t>花草</w:t>
      </w:r>
      <w:r>
        <w:rPr>
          <w:rFonts w:ascii="仿宋_GB2312" w:eastAsia="仿宋_GB2312" w:hAnsiTheme="minorHAnsi" w:cstheme="minorBidi"/>
          <w:kern w:val="2"/>
          <w:sz w:val="32"/>
          <w:szCs w:val="22"/>
          <w:lang w:val="en-US" w:eastAsia="zh-CN" w:bidi="ar-SA"/>
        </w:rPr>
        <w:t>，</w:t>
      </w:r>
      <w:r>
        <w:rPr>
          <w:rFonts w:hint="eastAsia" w:ascii="仿宋_GB2312" w:eastAsia="仿宋_GB2312" w:hAnsiTheme="minorHAnsi" w:cstheme="minorBidi"/>
          <w:kern w:val="2"/>
          <w:sz w:val="32"/>
          <w:szCs w:val="22"/>
          <w:lang w:val="en-US" w:eastAsia="zh-CN" w:bidi="ar-SA"/>
        </w:rPr>
        <w:t>加大沿线植树绿化，禁止使用外来物种，防止野外用火。</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严格执行环境保护设施与主体工程同时设计、同时施工、同时投入使用的环境保护“三同时”制度。在施工招标文件、施工合同和工程监理招标文件中明确环保条款和责任，认真落实施工期环境监理</w:t>
      </w:r>
      <w:r>
        <w:rPr>
          <w:rFonts w:hint="eastAsia" w:ascii="仿宋" w:hAnsi="仿宋" w:eastAsia="仿宋" w:cs="仿宋"/>
          <w:sz w:val="32"/>
          <w:szCs w:val="32"/>
          <w:lang w:eastAsia="zh-CN"/>
        </w:rPr>
        <w:t>工作要求</w:t>
      </w:r>
      <w:r>
        <w:rPr>
          <w:rFonts w:hint="eastAsia" w:ascii="仿宋" w:hAnsi="仿宋" w:eastAsia="仿宋" w:cs="仿宋"/>
          <w:sz w:val="32"/>
          <w:szCs w:val="32"/>
        </w:rPr>
        <w:t>，施工期环境监理报告和环境监测报告应作为项目竣工环境保护验收的依据之一。项目建成</w:t>
      </w:r>
      <w:r>
        <w:rPr>
          <w:rFonts w:hint="eastAsia" w:ascii="仿宋" w:hAnsi="仿宋" w:eastAsia="仿宋" w:cs="仿宋"/>
          <w:sz w:val="32"/>
          <w:szCs w:val="32"/>
          <w:lang w:eastAsia="zh-CN"/>
        </w:rPr>
        <w:t>后</w:t>
      </w:r>
      <w:r>
        <w:rPr>
          <w:rFonts w:hint="eastAsia" w:ascii="仿宋" w:hAnsi="仿宋" w:eastAsia="仿宋" w:cs="仿宋"/>
          <w:sz w:val="32"/>
          <w:szCs w:val="32"/>
        </w:rPr>
        <w:t>须按《建设项目竣工环境保护验收管理办法》规定程序实施竣工环境保护验收</w:t>
      </w:r>
      <w:r>
        <w:rPr>
          <w:rFonts w:hint="eastAsia" w:ascii="仿宋" w:hAnsi="仿宋" w:eastAsia="仿宋" w:cs="仿宋"/>
          <w:sz w:val="32"/>
          <w:szCs w:val="32"/>
          <w:lang w:eastAsia="zh-CN"/>
        </w:rPr>
        <w:t>，建设单位应当登录全国建设项目竣工环境保护验收信息平台，填报建设项目基本信息、环境保护设施验收情况等相关信息，同时向生态环境保护部门备案。</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项目若发生重大变动，须另行组织开展环境影响评价并重新报批。自环境影响报告</w:t>
      </w:r>
      <w:r>
        <w:rPr>
          <w:rFonts w:hint="eastAsia" w:ascii="仿宋" w:hAnsi="仿宋" w:eastAsia="仿宋" w:cs="仿宋"/>
          <w:sz w:val="32"/>
          <w:szCs w:val="32"/>
          <w:lang w:eastAsia="zh-CN"/>
        </w:rPr>
        <w:t>表</w:t>
      </w:r>
      <w:r>
        <w:rPr>
          <w:rFonts w:hint="eastAsia" w:ascii="仿宋" w:hAnsi="仿宋" w:eastAsia="仿宋" w:cs="仿宋"/>
          <w:sz w:val="32"/>
          <w:szCs w:val="32"/>
        </w:rPr>
        <w:t>批准之日起，如超过5年项目才开始建设的，环境影响报告</w:t>
      </w:r>
      <w:r>
        <w:rPr>
          <w:rFonts w:hint="eastAsia" w:ascii="仿宋" w:hAnsi="仿宋" w:eastAsia="仿宋" w:cs="仿宋"/>
          <w:sz w:val="32"/>
          <w:szCs w:val="32"/>
          <w:lang w:eastAsia="zh-CN"/>
        </w:rPr>
        <w:t>表</w:t>
      </w:r>
      <w:r>
        <w:rPr>
          <w:rFonts w:hint="eastAsia" w:ascii="仿宋" w:hAnsi="仿宋" w:eastAsia="仿宋" w:cs="仿宋"/>
          <w:sz w:val="32"/>
          <w:szCs w:val="32"/>
        </w:rPr>
        <w:t>应当报</w:t>
      </w:r>
      <w:r>
        <w:rPr>
          <w:rFonts w:hint="eastAsia" w:ascii="仿宋" w:hAnsi="仿宋" w:eastAsia="仿宋" w:cs="仿宋"/>
          <w:sz w:val="32"/>
          <w:szCs w:val="32"/>
          <w:lang w:eastAsia="zh-CN"/>
        </w:rPr>
        <w:t>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审批</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应在接到本批复后15个工作日内，将批准后的环境影响报告</w:t>
      </w:r>
      <w:r>
        <w:rPr>
          <w:rFonts w:hint="eastAsia" w:ascii="仿宋" w:hAnsi="仿宋" w:eastAsia="仿宋" w:cs="仿宋"/>
          <w:kern w:val="0"/>
          <w:sz w:val="32"/>
          <w:szCs w:val="32"/>
          <w:lang w:eastAsia="zh-CN"/>
        </w:rPr>
        <w:t>表报</w:t>
      </w:r>
      <w:r>
        <w:rPr>
          <w:rFonts w:hint="eastAsia" w:ascii="仿宋" w:hAnsi="仿宋" w:eastAsia="仿宋" w:cs="仿宋"/>
          <w:color w:val="auto"/>
          <w:kern w:val="0"/>
          <w:sz w:val="32"/>
          <w:szCs w:val="32"/>
          <w:lang w:eastAsia="zh-CN"/>
        </w:rPr>
        <w:t>批稿</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德钦</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bookmarkStart w:id="0" w:name="_GoBack"/>
      <w:bookmarkEnd w:id="0"/>
    </w:p>
    <w:p>
      <w:pPr>
        <w:pStyle w:val="9"/>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ind w:left="1179" w:leftChars="133" w:hanging="900" w:hangingChars="300"/>
        <w:rPr>
          <w:rFonts w:hint="eastAsia" w:ascii="仿宋" w:hAnsi="仿宋" w:eastAsia="仿宋" w:cs="仿宋"/>
          <w:sz w:val="30"/>
          <w:szCs w:val="30"/>
        </w:rPr>
      </w:pPr>
      <w:r>
        <w:rPr>
          <w:rFonts w:hint="eastAsia" w:ascii="仿宋" w:hAnsi="仿宋" w:eastAsia="仿宋" w:cs="仿宋"/>
          <w:sz w:val="30"/>
          <w:szCs w:val="30"/>
        </w:rPr>
        <w:t>抄送：州发展改革委，州生态环境局</w:t>
      </w:r>
      <w:r>
        <w:rPr>
          <w:rFonts w:hint="eastAsia" w:ascii="仿宋" w:hAnsi="仿宋" w:eastAsia="仿宋" w:cs="仿宋"/>
          <w:sz w:val="30"/>
          <w:szCs w:val="30"/>
          <w:lang w:eastAsia="zh-CN"/>
        </w:rPr>
        <w:t>德钦</w:t>
      </w:r>
      <w:r>
        <w:rPr>
          <w:rFonts w:hint="eastAsia" w:ascii="仿宋" w:hAnsi="仿宋" w:eastAsia="仿宋" w:cs="仿宋"/>
          <w:sz w:val="30"/>
          <w:szCs w:val="30"/>
        </w:rPr>
        <w:t>分局，州生态环境保护综合执法支队，环评单位。</w:t>
      </w:r>
    </w:p>
    <w:p>
      <w:pPr>
        <w:pBdr>
          <w:top w:val="single" w:color="auto" w:sz="6" w:space="1"/>
          <w:bottom w:val="single" w:color="auto" w:sz="6" w:space="1"/>
        </w:pBdr>
        <w:ind w:firstLine="320" w:firstLineChars="100"/>
        <w:rPr>
          <w:rFonts w:hint="eastAsia" w:ascii="仿宋" w:hAnsi="仿宋" w:eastAsia="仿宋" w:cs="仿宋"/>
          <w:sz w:val="32"/>
          <w:szCs w:val="32"/>
        </w:rPr>
      </w:pPr>
      <w:r>
        <w:rPr>
          <w:rFonts w:hint="eastAsia" w:ascii="仿宋" w:hAnsi="仿宋" w:eastAsia="仿宋" w:cs="仿宋"/>
          <w:sz w:val="32"/>
          <w:szCs w:val="32"/>
        </w:rPr>
        <w:t>迪庆藏族自治州生态环境局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1FF5FC6"/>
    <w:rsid w:val="0214475B"/>
    <w:rsid w:val="03806E56"/>
    <w:rsid w:val="04BE6560"/>
    <w:rsid w:val="05C07895"/>
    <w:rsid w:val="06C752ED"/>
    <w:rsid w:val="06EA4CBF"/>
    <w:rsid w:val="07292362"/>
    <w:rsid w:val="07B01173"/>
    <w:rsid w:val="085F0A07"/>
    <w:rsid w:val="08DE399E"/>
    <w:rsid w:val="0930000C"/>
    <w:rsid w:val="099C7309"/>
    <w:rsid w:val="0A7838E4"/>
    <w:rsid w:val="0AB91C80"/>
    <w:rsid w:val="0AC537D4"/>
    <w:rsid w:val="0B0C5801"/>
    <w:rsid w:val="0B7B5940"/>
    <w:rsid w:val="0C251D7D"/>
    <w:rsid w:val="0C8B0D26"/>
    <w:rsid w:val="0D750114"/>
    <w:rsid w:val="0E070CA8"/>
    <w:rsid w:val="0E124C6B"/>
    <w:rsid w:val="0E1F26EF"/>
    <w:rsid w:val="0F120FB4"/>
    <w:rsid w:val="0F28178C"/>
    <w:rsid w:val="0F666292"/>
    <w:rsid w:val="10142A33"/>
    <w:rsid w:val="10DD582A"/>
    <w:rsid w:val="111C202C"/>
    <w:rsid w:val="1147131C"/>
    <w:rsid w:val="11674CDC"/>
    <w:rsid w:val="11B505F5"/>
    <w:rsid w:val="127637E4"/>
    <w:rsid w:val="1413481B"/>
    <w:rsid w:val="142F27C1"/>
    <w:rsid w:val="14BB0831"/>
    <w:rsid w:val="14EF6990"/>
    <w:rsid w:val="151C4147"/>
    <w:rsid w:val="162D151C"/>
    <w:rsid w:val="167C32BC"/>
    <w:rsid w:val="16B70C50"/>
    <w:rsid w:val="16DF1245"/>
    <w:rsid w:val="185776E3"/>
    <w:rsid w:val="19491552"/>
    <w:rsid w:val="19796132"/>
    <w:rsid w:val="197E53CD"/>
    <w:rsid w:val="19900AEF"/>
    <w:rsid w:val="19D35EAF"/>
    <w:rsid w:val="19DC3790"/>
    <w:rsid w:val="1A865B47"/>
    <w:rsid w:val="1A935E19"/>
    <w:rsid w:val="1B5B3C98"/>
    <w:rsid w:val="1BF80701"/>
    <w:rsid w:val="1C124B27"/>
    <w:rsid w:val="1C2C35D6"/>
    <w:rsid w:val="1C8B5ABF"/>
    <w:rsid w:val="1DD01502"/>
    <w:rsid w:val="1E3E445F"/>
    <w:rsid w:val="1E6A290F"/>
    <w:rsid w:val="1EC31CB4"/>
    <w:rsid w:val="1EC82880"/>
    <w:rsid w:val="1FC308AF"/>
    <w:rsid w:val="20044AD4"/>
    <w:rsid w:val="213E2CCB"/>
    <w:rsid w:val="216B42FC"/>
    <w:rsid w:val="21987E91"/>
    <w:rsid w:val="21A623AC"/>
    <w:rsid w:val="23755AEB"/>
    <w:rsid w:val="247E77F1"/>
    <w:rsid w:val="249D0074"/>
    <w:rsid w:val="254C5202"/>
    <w:rsid w:val="2550326D"/>
    <w:rsid w:val="25787B46"/>
    <w:rsid w:val="26841100"/>
    <w:rsid w:val="26D81045"/>
    <w:rsid w:val="27863C53"/>
    <w:rsid w:val="278B6099"/>
    <w:rsid w:val="279B4E73"/>
    <w:rsid w:val="283972B6"/>
    <w:rsid w:val="28611F91"/>
    <w:rsid w:val="2878207C"/>
    <w:rsid w:val="298644FE"/>
    <w:rsid w:val="2A8840BD"/>
    <w:rsid w:val="2B385690"/>
    <w:rsid w:val="2B533600"/>
    <w:rsid w:val="2C330C87"/>
    <w:rsid w:val="2CAB059B"/>
    <w:rsid w:val="2CC02508"/>
    <w:rsid w:val="2D0F1218"/>
    <w:rsid w:val="2D2E2BD5"/>
    <w:rsid w:val="2E0204B0"/>
    <w:rsid w:val="2EA20E71"/>
    <w:rsid w:val="2EA76A84"/>
    <w:rsid w:val="2EEC6051"/>
    <w:rsid w:val="2F0C6C2D"/>
    <w:rsid w:val="2F265A9A"/>
    <w:rsid w:val="2F850D22"/>
    <w:rsid w:val="2F902381"/>
    <w:rsid w:val="2FC907F2"/>
    <w:rsid w:val="2FE00133"/>
    <w:rsid w:val="301F37EF"/>
    <w:rsid w:val="302547FC"/>
    <w:rsid w:val="3101477F"/>
    <w:rsid w:val="314D5BFE"/>
    <w:rsid w:val="3185705F"/>
    <w:rsid w:val="31933271"/>
    <w:rsid w:val="319E4209"/>
    <w:rsid w:val="331B6FAF"/>
    <w:rsid w:val="33A52465"/>
    <w:rsid w:val="33EE7CBE"/>
    <w:rsid w:val="343C655F"/>
    <w:rsid w:val="34700DB6"/>
    <w:rsid w:val="35E4611F"/>
    <w:rsid w:val="362D1A77"/>
    <w:rsid w:val="36AB7B9A"/>
    <w:rsid w:val="36DC0C45"/>
    <w:rsid w:val="36F47EB2"/>
    <w:rsid w:val="378E5CD6"/>
    <w:rsid w:val="37D93916"/>
    <w:rsid w:val="383B44B6"/>
    <w:rsid w:val="38857C9F"/>
    <w:rsid w:val="38991D39"/>
    <w:rsid w:val="39A27FDE"/>
    <w:rsid w:val="39B404CB"/>
    <w:rsid w:val="3A196543"/>
    <w:rsid w:val="3A3C1EB3"/>
    <w:rsid w:val="3B4C66F9"/>
    <w:rsid w:val="3B610543"/>
    <w:rsid w:val="3B8347AB"/>
    <w:rsid w:val="3C4B022B"/>
    <w:rsid w:val="3CE51298"/>
    <w:rsid w:val="3D822ACE"/>
    <w:rsid w:val="3E033079"/>
    <w:rsid w:val="3E2F5EF0"/>
    <w:rsid w:val="3ED40D7E"/>
    <w:rsid w:val="3F582B5B"/>
    <w:rsid w:val="3F884A2F"/>
    <w:rsid w:val="40E41598"/>
    <w:rsid w:val="420D4DCB"/>
    <w:rsid w:val="424563CF"/>
    <w:rsid w:val="42752719"/>
    <w:rsid w:val="427E791F"/>
    <w:rsid w:val="42B65957"/>
    <w:rsid w:val="42E80FD8"/>
    <w:rsid w:val="43DE18E2"/>
    <w:rsid w:val="44C31F35"/>
    <w:rsid w:val="45082A46"/>
    <w:rsid w:val="45431DCE"/>
    <w:rsid w:val="45735A24"/>
    <w:rsid w:val="45DD599C"/>
    <w:rsid w:val="460F4E44"/>
    <w:rsid w:val="479E2195"/>
    <w:rsid w:val="47C53C4E"/>
    <w:rsid w:val="48CE6BCF"/>
    <w:rsid w:val="49150F98"/>
    <w:rsid w:val="49EA37A3"/>
    <w:rsid w:val="4A8630C6"/>
    <w:rsid w:val="4A8A52C7"/>
    <w:rsid w:val="4C574A53"/>
    <w:rsid w:val="4C8E4598"/>
    <w:rsid w:val="4E22609C"/>
    <w:rsid w:val="4EA63B9B"/>
    <w:rsid w:val="50F1414E"/>
    <w:rsid w:val="513C117F"/>
    <w:rsid w:val="51A76313"/>
    <w:rsid w:val="520D54AE"/>
    <w:rsid w:val="52BB30F9"/>
    <w:rsid w:val="537062BE"/>
    <w:rsid w:val="5388796D"/>
    <w:rsid w:val="53913079"/>
    <w:rsid w:val="53D51A9C"/>
    <w:rsid w:val="53E940B3"/>
    <w:rsid w:val="54BA44B7"/>
    <w:rsid w:val="55342965"/>
    <w:rsid w:val="55DE1A69"/>
    <w:rsid w:val="563315A6"/>
    <w:rsid w:val="57DE0984"/>
    <w:rsid w:val="584B78C9"/>
    <w:rsid w:val="58DE119F"/>
    <w:rsid w:val="59EC0A87"/>
    <w:rsid w:val="59F350E0"/>
    <w:rsid w:val="5A6D26C3"/>
    <w:rsid w:val="5B5D01CF"/>
    <w:rsid w:val="5BC628BE"/>
    <w:rsid w:val="5C7D4CBE"/>
    <w:rsid w:val="5CDF5245"/>
    <w:rsid w:val="5D273805"/>
    <w:rsid w:val="5D423510"/>
    <w:rsid w:val="5E333BC7"/>
    <w:rsid w:val="5E4E52BA"/>
    <w:rsid w:val="5E8101E9"/>
    <w:rsid w:val="5E93613B"/>
    <w:rsid w:val="5EFC129C"/>
    <w:rsid w:val="5F5A41DD"/>
    <w:rsid w:val="5FBB3931"/>
    <w:rsid w:val="6046122E"/>
    <w:rsid w:val="607619DB"/>
    <w:rsid w:val="60F85A7B"/>
    <w:rsid w:val="610D3B8D"/>
    <w:rsid w:val="62342FCB"/>
    <w:rsid w:val="638735EA"/>
    <w:rsid w:val="64F56354"/>
    <w:rsid w:val="65684289"/>
    <w:rsid w:val="656F26C1"/>
    <w:rsid w:val="659A476F"/>
    <w:rsid w:val="667E79E7"/>
    <w:rsid w:val="66C63750"/>
    <w:rsid w:val="67AD39E4"/>
    <w:rsid w:val="67FB6982"/>
    <w:rsid w:val="6816631A"/>
    <w:rsid w:val="68577195"/>
    <w:rsid w:val="68846963"/>
    <w:rsid w:val="68B43E79"/>
    <w:rsid w:val="68FC3F1F"/>
    <w:rsid w:val="69C22F8F"/>
    <w:rsid w:val="69C4131D"/>
    <w:rsid w:val="6A8B7A45"/>
    <w:rsid w:val="6ABD13EE"/>
    <w:rsid w:val="6D3128B8"/>
    <w:rsid w:val="6D7265C1"/>
    <w:rsid w:val="6D7B180E"/>
    <w:rsid w:val="6E95549C"/>
    <w:rsid w:val="6EB10EEF"/>
    <w:rsid w:val="6FF85435"/>
    <w:rsid w:val="70166D5D"/>
    <w:rsid w:val="70D957F4"/>
    <w:rsid w:val="70FB4BDE"/>
    <w:rsid w:val="72875A53"/>
    <w:rsid w:val="73295D78"/>
    <w:rsid w:val="74304B3D"/>
    <w:rsid w:val="74DB68AA"/>
    <w:rsid w:val="7730322D"/>
    <w:rsid w:val="774569D2"/>
    <w:rsid w:val="7779020B"/>
    <w:rsid w:val="784F0659"/>
    <w:rsid w:val="78517930"/>
    <w:rsid w:val="78FA0750"/>
    <w:rsid w:val="792F5838"/>
    <w:rsid w:val="7948704B"/>
    <w:rsid w:val="79A52C8F"/>
    <w:rsid w:val="7A502F2E"/>
    <w:rsid w:val="7A734A03"/>
    <w:rsid w:val="7AC22DFD"/>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5"/>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16">
    <w:name w:val="内容"/>
    <w:basedOn w:val="1"/>
    <w:qFormat/>
    <w:uiPriority w:val="0"/>
    <w:pPr>
      <w:tabs>
        <w:tab w:val="left" w:pos="4404"/>
      </w:tabs>
      <w:spacing w:line="480" w:lineRule="exact"/>
      <w:ind w:firstLine="520" w:firstLineChars="200"/>
    </w:pPr>
    <w:rPr>
      <w:rFonts w:hAnsi="宋体"/>
      <w:sz w:val="26"/>
      <w:szCs w:val="26"/>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0</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2020-05-29T01:27:00Z</cp:lastPrinted>
  <dcterms:modified xsi:type="dcterms:W3CDTF">2020-07-14T07:37:47Z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