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行楷" w:eastAsia="华文行楷"/>
          <w:color w:val="FF0000"/>
          <w:spacing w:val="-80"/>
          <w:sz w:val="96"/>
          <w:szCs w:val="96"/>
          <w:lang w:eastAsia="zh-CN"/>
        </w:rPr>
      </w:pPr>
      <w:bookmarkStart w:id="0" w:name="OLE_LINK3"/>
      <w:r>
        <w:rPr>
          <w:rFonts w:hint="eastAsia" w:ascii="华文行楷" w:eastAsia="华文行楷"/>
          <w:color w:val="FF0000"/>
          <w:spacing w:val="-80"/>
          <w:sz w:val="96"/>
          <w:szCs w:val="96"/>
        </w:rPr>
        <w:t>迪庆</w:t>
      </w:r>
      <w:r>
        <w:rPr>
          <w:rFonts w:hint="eastAsia" w:ascii="华文行楷" w:eastAsia="华文行楷"/>
          <w:color w:val="FF0000"/>
          <w:spacing w:val="-80"/>
          <w:sz w:val="96"/>
          <w:szCs w:val="96"/>
          <w:lang w:eastAsia="zh-CN"/>
        </w:rPr>
        <w:t>州市场监督管理局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行楷" w:eastAsia="华文行楷"/>
          <w:color w:val="FF0000"/>
          <w:spacing w:val="-80"/>
          <w:sz w:val="144"/>
          <w:szCs w:val="144"/>
        </w:rPr>
      </w:pPr>
      <w:r>
        <w:rPr>
          <w:rFonts w:hint="eastAsia" w:ascii="华文行楷" w:eastAsia="华文行楷"/>
          <w:color w:val="FF0000"/>
          <w:spacing w:val="-80"/>
          <w:sz w:val="144"/>
          <w:szCs w:val="144"/>
          <w:lang w:eastAsia="zh-CN"/>
        </w:rPr>
        <w:t>简</w:t>
      </w:r>
      <w:r>
        <w:rPr>
          <w:rFonts w:hint="eastAsia" w:ascii="华文行楷" w:eastAsia="华文行楷"/>
          <w:color w:val="FF0000"/>
          <w:spacing w:val="-80"/>
          <w:sz w:val="144"/>
          <w:szCs w:val="144"/>
          <w:lang w:val="en-US" w:eastAsia="zh-CN"/>
        </w:rPr>
        <w:t xml:space="preserve">  </w:t>
      </w:r>
      <w:r>
        <w:rPr>
          <w:rFonts w:hint="eastAsia" w:ascii="华文行楷" w:eastAsia="华文行楷"/>
          <w:color w:val="FF0000"/>
          <w:spacing w:val="-80"/>
          <w:sz w:val="144"/>
          <w:szCs w:val="144"/>
          <w:lang w:eastAsia="zh-CN"/>
        </w:rPr>
        <w:t>报</w:t>
      </w:r>
    </w:p>
    <w:p>
      <w:pPr>
        <w:pStyle w:val="3"/>
        <w:spacing w:line="540" w:lineRule="exact"/>
        <w:ind w:firstLine="643"/>
        <w:jc w:val="center"/>
        <w:rPr>
          <w:rFonts w:hint="eastAsia"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</w:rPr>
        <w:t>第</w:t>
      </w:r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t>29</w:t>
      </w:r>
      <w:r>
        <w:rPr>
          <w:rFonts w:hint="eastAsia" w:ascii="楷体_GB2312" w:hAnsi="宋体" w:eastAsia="楷体_GB2312"/>
          <w:b/>
          <w:bCs/>
          <w:sz w:val="32"/>
        </w:rPr>
        <w:t>期</w:t>
      </w:r>
    </w:p>
    <w:p>
      <w:pPr>
        <w:pStyle w:val="3"/>
        <w:spacing w:line="540" w:lineRule="exact"/>
        <w:ind w:firstLine="643"/>
        <w:jc w:val="center"/>
        <w:outlineLvl w:val="0"/>
        <w:rPr>
          <w:rFonts w:hint="eastAsia"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t>(</w:t>
      </w:r>
      <w:r>
        <w:rPr>
          <w:rFonts w:hint="eastAsia" w:ascii="楷体_GB2312" w:hAnsi="宋体" w:eastAsia="楷体_GB2312"/>
          <w:b/>
          <w:bCs/>
          <w:sz w:val="32"/>
        </w:rPr>
        <w:t>总第</w:t>
      </w:r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t>173期)</w:t>
      </w:r>
    </w:p>
    <w:p>
      <w:pPr>
        <w:jc w:val="center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317500</wp:posOffset>
                </wp:positionV>
                <wp:extent cx="54102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25pt;height:0pt;width:426pt;z-index:251662336;mso-width-relative:page;mso-height-relative:page;" filled="f" stroked="t" coordsize="21600,21600" o:gfxdata="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fI6q1QAAAAgBAAAP&#10;AAAAAAAAAAEAIAAAACIAAABkcnMvZG93bnJldi54bWxQSwECFAAUAAAACACHTuJAL6LMQ+IBAACl&#10;AwAADgAAAAAAAAABACAAAAAk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迪庆州市场监督管理局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二0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0年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十九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为迪庆州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两会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期间餐饮食品安全保驾护航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迪庆州十三届人大五次会议、政协迪庆州第十二届委员会第五次会议顺利闭幕。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99060</wp:posOffset>
            </wp:positionH>
            <wp:positionV relativeFrom="page">
              <wp:posOffset>7518400</wp:posOffset>
            </wp:positionV>
            <wp:extent cx="2576830" cy="1932940"/>
            <wp:effectExtent l="0" t="0" r="13970" b="10160"/>
            <wp:wrapSquare wrapText="bothSides"/>
            <wp:docPr id="2" name="图片 2" descr="30bcb0407d0829f25619b23a0fb8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bcb0407d0829f25619b23a0fb87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会议召开前期，迪庆州市场监督管理局副局长和世荣带队提前深入餐饮服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务单位，对接待单位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</w:rPr>
        <w:t>原料采购索证索票、餐用具消毒、工作人员健康证明、库房、厨房“三防”设施等情况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  <w:t>进行检查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</w:rPr>
        <w:t>，并对餐饮服务单位的接待能力进行评估。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page">
              <wp:posOffset>1198245</wp:posOffset>
            </wp:positionV>
            <wp:extent cx="2077720" cy="2770505"/>
            <wp:effectExtent l="0" t="0" r="17780" b="10795"/>
            <wp:wrapSquare wrapText="bothSides"/>
            <wp:docPr id="1" name="图片 1" descr="83fa2f2d43a283af4a5324289736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fa2f2d43a283af4a53242897363e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  <w:t>会议召开期间，迪庆州市场监督管理局与两家餐饮服务单位签订了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</w:rPr>
        <w:t>《重大活动餐饮服务食品安全承诺书》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  <w:t>，并派执法人员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val="en-US" w:eastAsia="zh-CN"/>
        </w:rPr>
        <w:t>24小时驻守，自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</w:rPr>
        <w:t>餐厅及厨房工作人员开始工作起进行全程监督，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shd w:val="clear" w:color="auto" w:fill="FBFBFB"/>
          <w:lang w:eastAsia="zh-CN"/>
        </w:rPr>
        <w:t>借助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  <w:t>餐饮“明厨亮灶”工作平台，实时监控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</w:rPr>
        <w:t>早、午、晚餐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  <w:t>制作中厨房内部动态，全程掌握食品安全动向。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  <w:t>会议期间共出动执法人员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val="en-US" w:eastAsia="zh-CN"/>
        </w:rPr>
        <w:t>24人次，对21份样品进行检测，切实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  <w:t>保障与会人员餐饮食品安全。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BFBFB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7C85"/>
    <w:rsid w:val="216B6057"/>
    <w:rsid w:val="23B864D9"/>
    <w:rsid w:val="2C5B6A43"/>
    <w:rsid w:val="46761F15"/>
    <w:rsid w:val="52A5220A"/>
    <w:rsid w:val="5AA333B1"/>
    <w:rsid w:val="606450C7"/>
    <w:rsid w:val="75382CA8"/>
    <w:rsid w:val="7BF47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line="360" w:lineRule="auto"/>
      <w:ind w:left="-540" w:leftChars="-257" w:firstLine="480" w:firstLineChars="200"/>
    </w:pPr>
    <w:rPr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维维</cp:lastModifiedBy>
  <dcterms:modified xsi:type="dcterms:W3CDTF">2020-05-19T02:05:37Z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