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 -->
  <w:body>
    <w:p>
      <w:pPr>
        <w:rPr>
          <w:rFonts w:ascii="Arial" w:eastAsia="Arial" w:hAnsi="Arial" w:cs="Arial"/>
          <w:b/>
          <w:sz w:val="36"/>
        </w:rPr>
      </w:pPr>
      <w:r>
        <w:rPr>
          <w:rFonts w:ascii="Arial" w:eastAsia="Arial" w:hAnsi="Arial" w:cs="Arial"/>
          <w:b/>
          <w:sz w:val="36"/>
        </w:rPr>
        <w:t>监督索引号53340000132401000</w:t>
      </w:r>
    </w:p>
    <w:p w:rsidR="00F17834">
      <w:pPr>
        <w:pStyle w:val="NormalWeb"/>
        <w:widowControl/>
        <w:shd w:val="clear" w:color="auto" w:fill="FFFFFF"/>
        <w:spacing w:beforeAutospacing="0" w:afterAutospacing="0" w:line="480" w:lineRule="atLeast"/>
        <w:jc w:val="center"/>
        <w:rPr>
          <w:rFonts w:ascii="方正小标宋简体" w:eastAsia="方正小标宋简体" w:hAnsi="方正小标宋简体" w:cs="方正小标宋简体"/>
          <w:color w:val="333333"/>
          <w:sz w:val="44"/>
          <w:szCs w:val="44"/>
          <w:shd w:val="clear" w:color="auto" w:fill="FFFFFF"/>
        </w:rPr>
      </w:pPr>
      <w:r>
        <w:rPr>
          <w:rFonts w:ascii="方正小标宋简体" w:eastAsia="方正小标宋简体" w:hAnsi="方正小标宋简体" w:cs="方正小标宋简体" w:hint="eastAsia"/>
          <w:color w:val="333333"/>
          <w:sz w:val="44"/>
          <w:szCs w:val="44"/>
          <w:shd w:val="clear" w:color="auto" w:fill="FFFFFF"/>
        </w:rPr>
        <w:t>迪庆州</w:t>
      </w:r>
      <w:r>
        <w:rPr>
          <w:rFonts w:ascii="方正小标宋简体" w:eastAsia="方正小标宋简体" w:hAnsi="方正小标宋简体" w:cs="方正小标宋简体" w:hint="eastAsia"/>
          <w:color w:val="333333"/>
          <w:sz w:val="44"/>
          <w:szCs w:val="44"/>
          <w:shd w:val="clear" w:color="auto" w:fill="FFFFFF"/>
        </w:rPr>
        <w:t>城乡规划管理局</w:t>
      </w:r>
    </w:p>
    <w:p w:rsidR="00F17834">
      <w:pPr>
        <w:pStyle w:val="NormalWeb"/>
        <w:widowControl/>
        <w:shd w:val="clear" w:color="auto" w:fill="FFFFFF"/>
        <w:spacing w:beforeAutospacing="0" w:afterAutospacing="0" w:line="480" w:lineRule="atLeast"/>
        <w:jc w:val="center"/>
        <w:rPr>
          <w:rFonts w:ascii="方正小标宋简体" w:eastAsia="方正小标宋简体" w:hAnsi="方正小标宋简体" w:cs="方正小标宋简体"/>
          <w:color w:val="333333"/>
          <w:sz w:val="44"/>
          <w:szCs w:val="44"/>
        </w:rPr>
      </w:pPr>
      <w:r>
        <w:rPr>
          <w:rFonts w:ascii="方正小标宋简体" w:eastAsia="方正小标宋简体" w:hAnsi="方正小标宋简体" w:cs="方正小标宋简体" w:hint="eastAsia"/>
          <w:color w:val="333333"/>
          <w:sz w:val="44"/>
          <w:szCs w:val="44"/>
          <w:shd w:val="clear" w:color="auto" w:fill="FFFFFF"/>
        </w:rPr>
        <w:t>2018</w:t>
      </w:r>
      <w:r>
        <w:rPr>
          <w:rFonts w:ascii="方正小标宋简体" w:eastAsia="方正小标宋简体" w:hAnsi="方正小标宋简体" w:cs="方正小标宋简体" w:hint="eastAsia"/>
          <w:color w:val="333333"/>
          <w:sz w:val="44"/>
          <w:szCs w:val="44"/>
          <w:shd w:val="clear" w:color="auto" w:fill="FFFFFF"/>
        </w:rPr>
        <w:t>年度部门决算</w:t>
      </w:r>
    </w:p>
    <w:p w:rsidR="00F17834">
      <w:pPr>
        <w:pStyle w:val="NormalWeb"/>
        <w:widowControl/>
        <w:shd w:val="clear" w:color="auto" w:fill="FFFFFF"/>
        <w:spacing w:beforeAutospacing="0" w:afterAutospacing="0" w:line="480" w:lineRule="atLeast"/>
        <w:jc w:val="center"/>
        <w:rPr>
          <w:rFonts w:ascii="黑体" w:eastAsia="黑体" w:hAnsi="宋体" w:cs="黑体"/>
          <w:color w:val="333333"/>
          <w:sz w:val="30"/>
          <w:szCs w:val="30"/>
          <w:shd w:val="clear" w:color="auto" w:fill="FFFFFF"/>
        </w:rPr>
      </w:pPr>
    </w:p>
    <w:p w:rsidR="00F17834">
      <w:pPr>
        <w:pStyle w:val="NormalWeb"/>
        <w:widowControl/>
        <w:shd w:val="clear" w:color="auto" w:fill="FFFFFF"/>
        <w:spacing w:beforeAutospacing="0" w:afterAutospacing="0" w:line="480" w:lineRule="atLeast"/>
        <w:jc w:val="both"/>
        <w:rPr>
          <w:rFonts w:ascii="微软雅黑" w:eastAsia="微软雅黑" w:hAnsi="微软雅黑" w:cs="微软雅黑"/>
          <w:color w:val="333333"/>
        </w:rPr>
      </w:pPr>
      <w:r>
        <w:rPr>
          <w:rFonts w:ascii="黑体" w:eastAsia="黑体" w:hAnsi="宋体" w:cs="黑体" w:hint="eastAsia"/>
          <w:color w:val="333333"/>
          <w:sz w:val="30"/>
          <w:szCs w:val="30"/>
          <w:shd w:val="clear" w:color="auto" w:fill="FFFFFF"/>
        </w:rPr>
        <w:t>第一部分</w:t>
      </w:r>
      <w:r>
        <w:rPr>
          <w:rFonts w:ascii="黑体" w:eastAsia="黑体" w:hAnsi="宋体" w:cs="黑体" w:hint="eastAsia"/>
          <w:color w:val="333333"/>
          <w:sz w:val="30"/>
          <w:szCs w:val="30"/>
          <w:shd w:val="clear" w:color="auto" w:fill="FFFFFF"/>
        </w:rPr>
        <w:t> </w:t>
      </w:r>
      <w:r>
        <w:rPr>
          <w:rFonts w:ascii="黑体" w:eastAsia="黑体" w:hAnsi="宋体" w:cs="黑体" w:hint="eastAsia"/>
          <w:color w:val="333333"/>
          <w:sz w:val="30"/>
          <w:szCs w:val="30"/>
          <w:shd w:val="clear" w:color="auto" w:fill="FFFFFF"/>
        </w:rPr>
        <w:t>单位概况</w:t>
      </w:r>
    </w:p>
    <w:p w:rsidR="00F17834">
      <w:pPr>
        <w:pStyle w:val="NormalWeb"/>
        <w:widowControl/>
        <w:shd w:val="clear" w:color="auto" w:fill="FFFFFF"/>
        <w:spacing w:beforeAutospacing="0" w:afterAutospacing="0" w:line="24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一、</w:t>
      </w:r>
      <w:r>
        <w:rPr>
          <w:rFonts w:ascii="宋体" w:eastAsia="宋体" w:hAnsi="宋体" w:cs="宋体" w:hint="eastAsia"/>
          <w:color w:val="333333"/>
          <w:sz w:val="30"/>
          <w:szCs w:val="30"/>
          <w:shd w:val="clear" w:color="auto" w:fill="FFFFFF"/>
        </w:rPr>
        <w:t>主要职能</w:t>
      </w:r>
    </w:p>
    <w:p w:rsidR="00F17834">
      <w:pPr>
        <w:pStyle w:val="NormalWeb"/>
        <w:widowControl/>
        <w:shd w:val="clear" w:color="auto" w:fill="FFFFFF"/>
        <w:spacing w:beforeAutospacing="0" w:afterAutospacing="0" w:line="24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二、</w:t>
      </w:r>
      <w:r>
        <w:rPr>
          <w:rFonts w:ascii="宋体" w:eastAsia="宋体" w:hAnsi="宋体" w:cs="宋体" w:hint="eastAsia"/>
          <w:color w:val="333333"/>
          <w:sz w:val="30"/>
          <w:szCs w:val="30"/>
          <w:shd w:val="clear" w:color="auto" w:fill="FFFFFF"/>
        </w:rPr>
        <w:t>部门基本情况</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黑体" w:eastAsia="黑体" w:hAnsi="宋体" w:cs="黑体" w:hint="eastAsia"/>
          <w:color w:val="333333"/>
          <w:sz w:val="30"/>
          <w:szCs w:val="30"/>
          <w:shd w:val="clear" w:color="auto" w:fill="FFFFFF"/>
        </w:rPr>
        <w:t>第二部分</w:t>
      </w:r>
      <w:r>
        <w:rPr>
          <w:rFonts w:ascii="黑体" w:eastAsia="黑体" w:hAnsi="宋体" w:cs="黑体" w:hint="eastAsia"/>
          <w:color w:val="333333"/>
          <w:sz w:val="30"/>
          <w:szCs w:val="30"/>
          <w:shd w:val="clear" w:color="auto" w:fill="FFFFFF"/>
        </w:rPr>
        <w:t> </w:t>
      </w:r>
      <w:r>
        <w:rPr>
          <w:rFonts w:ascii="黑体" w:eastAsia="黑体" w:hAnsi="宋体" w:cs="黑体" w:hint="eastAsia"/>
          <w:color w:val="333333"/>
          <w:sz w:val="30"/>
          <w:szCs w:val="30"/>
          <w:shd w:val="clear" w:color="auto" w:fill="FFFFFF"/>
        </w:rPr>
        <w:t>2018</w:t>
      </w:r>
      <w:r>
        <w:rPr>
          <w:rFonts w:ascii="黑体" w:eastAsia="黑体" w:hAnsi="宋体" w:cs="黑体" w:hint="eastAsia"/>
          <w:color w:val="333333"/>
          <w:sz w:val="30"/>
          <w:szCs w:val="30"/>
          <w:shd w:val="clear" w:color="auto" w:fill="FFFFFF"/>
        </w:rPr>
        <w:t>年度部门决算表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一、收入支出决算总表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二、收入决算表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三、支出决算表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四、财政拨款收入支出决算总表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五、一般公共预算财政拨款收入支出决算表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六、一般公共预算财政拨款基本支出决算表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七、政府性基金预算财政拨款收入支出决算表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八、财政专户管理资金收入支出决算表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九、</w:t>
      </w:r>
      <w:r>
        <w:rPr>
          <w:rFonts w:ascii="楷体" w:eastAsia="楷体" w:hAnsi="楷体" w:cs="楷体"/>
          <w:color w:val="333333"/>
          <w:sz w:val="30"/>
          <w:szCs w:val="30"/>
          <w:shd w:val="clear" w:color="auto" w:fill="FFFFFF"/>
        </w:rPr>
        <w:t>“</w:t>
      </w:r>
      <w:r>
        <w:rPr>
          <w:rFonts w:ascii="宋体" w:eastAsia="宋体" w:hAnsi="宋体" w:cs="宋体" w:hint="eastAsia"/>
          <w:color w:val="333333"/>
          <w:sz w:val="30"/>
          <w:szCs w:val="30"/>
          <w:shd w:val="clear" w:color="auto" w:fill="FFFFFF"/>
        </w:rPr>
        <w:t>三公</w:t>
      </w:r>
      <w:r>
        <w:rPr>
          <w:rFonts w:ascii="楷体" w:eastAsia="楷体" w:hAnsi="楷体" w:cs="楷体" w:hint="eastAsia"/>
          <w:color w:val="333333"/>
          <w:sz w:val="30"/>
          <w:szCs w:val="30"/>
          <w:shd w:val="clear" w:color="auto" w:fill="FFFFFF"/>
        </w:rPr>
        <w:t>”</w:t>
      </w:r>
      <w:r>
        <w:rPr>
          <w:rFonts w:ascii="宋体" w:eastAsia="宋体" w:hAnsi="宋体" w:cs="宋体" w:hint="eastAsia"/>
          <w:color w:val="333333"/>
          <w:sz w:val="30"/>
          <w:szCs w:val="30"/>
          <w:shd w:val="clear" w:color="auto" w:fill="FFFFFF"/>
        </w:rPr>
        <w:t>经费、行政</w:t>
      </w:r>
      <w:r>
        <w:rPr>
          <w:rFonts w:ascii="宋体" w:eastAsia="宋体" w:hAnsi="宋体" w:cs="宋体" w:hint="eastAsia"/>
          <w:color w:val="333333"/>
          <w:sz w:val="30"/>
          <w:szCs w:val="30"/>
          <w:shd w:val="clear" w:color="auto" w:fill="FFFFFF"/>
        </w:rPr>
        <w:t>参公单位</w:t>
      </w:r>
      <w:r>
        <w:rPr>
          <w:rFonts w:ascii="宋体" w:eastAsia="宋体" w:hAnsi="宋体" w:cs="宋体" w:hint="eastAsia"/>
          <w:color w:val="333333"/>
          <w:sz w:val="30"/>
          <w:szCs w:val="30"/>
          <w:shd w:val="clear" w:color="auto" w:fill="FFFFFF"/>
        </w:rPr>
        <w:t>机关运行经费情况表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黑体" w:eastAsia="黑体" w:hAnsi="宋体" w:cs="黑体" w:hint="eastAsia"/>
          <w:color w:val="333333"/>
          <w:sz w:val="30"/>
          <w:szCs w:val="30"/>
          <w:shd w:val="clear" w:color="auto" w:fill="FFFFFF"/>
        </w:rPr>
        <w:t>第三部分</w:t>
      </w:r>
      <w:r>
        <w:rPr>
          <w:rFonts w:ascii="黑体" w:eastAsia="黑体" w:hAnsi="宋体" w:cs="黑体" w:hint="eastAsia"/>
          <w:color w:val="333333"/>
          <w:sz w:val="30"/>
          <w:szCs w:val="30"/>
          <w:shd w:val="clear" w:color="auto" w:fill="FFFFFF"/>
        </w:rPr>
        <w:t>  </w:t>
      </w:r>
      <w:r>
        <w:rPr>
          <w:rFonts w:ascii="黑体" w:eastAsia="黑体" w:hAnsi="宋体" w:cs="黑体" w:hint="eastAsia"/>
          <w:color w:val="333333"/>
          <w:sz w:val="30"/>
          <w:szCs w:val="30"/>
          <w:shd w:val="clear" w:color="auto" w:fill="FFFFFF"/>
        </w:rPr>
        <w:t>2018</w:t>
      </w:r>
      <w:r>
        <w:rPr>
          <w:rFonts w:ascii="黑体" w:eastAsia="黑体" w:hAnsi="宋体" w:cs="黑体" w:hint="eastAsia"/>
          <w:color w:val="333333"/>
          <w:sz w:val="30"/>
          <w:szCs w:val="30"/>
          <w:shd w:val="clear" w:color="auto" w:fill="FFFFFF"/>
        </w:rPr>
        <w:t>年度部门决算情况说明</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一、收入决算情况说明</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二、支出决算情况说明</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三、一般公共预算财政拨款支出决算情况说明</w:t>
      </w:r>
    </w:p>
    <w:p w:rsidR="00F17834">
      <w:pPr>
        <w:pStyle w:val="NormalWeb"/>
        <w:widowControl/>
        <w:shd w:val="clear" w:color="auto" w:fill="FFFFFF"/>
        <w:spacing w:before="105" w:beforeAutospacing="0" w:after="105" w:afterAutospacing="0" w:line="36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四、一般公共预算财政拨款</w:t>
      </w:r>
      <w:r>
        <w:rPr>
          <w:rFonts w:ascii="楷体" w:eastAsia="楷体" w:hAnsi="楷体" w:cs="楷体" w:hint="eastAsia"/>
          <w:color w:val="333333"/>
          <w:sz w:val="30"/>
          <w:szCs w:val="30"/>
          <w:shd w:val="clear" w:color="auto" w:fill="FFFFFF"/>
        </w:rPr>
        <w:t>“</w:t>
      </w:r>
      <w:r>
        <w:rPr>
          <w:rFonts w:ascii="宋体" w:eastAsia="宋体" w:hAnsi="宋体" w:cs="宋体" w:hint="eastAsia"/>
          <w:color w:val="333333"/>
          <w:sz w:val="30"/>
          <w:szCs w:val="30"/>
          <w:shd w:val="clear" w:color="auto" w:fill="FFFFFF"/>
        </w:rPr>
        <w:t>三公</w:t>
      </w:r>
      <w:r>
        <w:rPr>
          <w:rFonts w:ascii="楷体" w:eastAsia="楷体" w:hAnsi="楷体" w:cs="楷体" w:hint="eastAsia"/>
          <w:color w:val="333333"/>
          <w:sz w:val="30"/>
          <w:szCs w:val="30"/>
          <w:shd w:val="clear" w:color="auto" w:fill="FFFFFF"/>
        </w:rPr>
        <w:t>”</w:t>
      </w:r>
      <w:r>
        <w:rPr>
          <w:rFonts w:ascii="宋体" w:eastAsia="宋体" w:hAnsi="宋体" w:cs="宋体" w:hint="eastAsia"/>
          <w:color w:val="333333"/>
          <w:sz w:val="30"/>
          <w:szCs w:val="30"/>
          <w:shd w:val="clear" w:color="auto" w:fill="FFFFFF"/>
        </w:rPr>
        <w:t>经费支出决算情况说明</w:t>
      </w:r>
    </w:p>
    <w:p w:rsidR="00F17834">
      <w:pPr>
        <w:pStyle w:val="NormalWeb"/>
        <w:widowControl/>
        <w:shd w:val="clear" w:color="auto" w:fill="FFFFFF"/>
        <w:spacing w:before="105" w:beforeAutospacing="0" w:after="105" w:afterAutospacing="0" w:line="360" w:lineRule="atLeast"/>
        <w:rPr>
          <w:rFonts w:ascii="微软雅黑" w:eastAsia="微软雅黑" w:hAnsi="微软雅黑" w:cs="微软雅黑"/>
          <w:color w:val="333333"/>
        </w:rPr>
      </w:pPr>
      <w:r>
        <w:rPr>
          <w:rFonts w:ascii="黑体" w:eastAsia="黑体" w:hAnsi="宋体" w:cs="黑体" w:hint="eastAsia"/>
          <w:color w:val="333333"/>
          <w:sz w:val="30"/>
          <w:szCs w:val="30"/>
          <w:shd w:val="clear" w:color="auto" w:fill="FFFFFF"/>
        </w:rPr>
        <w:t>第四部分</w:t>
      </w:r>
      <w:r>
        <w:rPr>
          <w:rFonts w:ascii="楷体" w:eastAsia="楷体" w:hAnsi="楷体" w:cs="楷体" w:hint="eastAsia"/>
          <w:color w:val="333333"/>
          <w:sz w:val="30"/>
          <w:szCs w:val="30"/>
          <w:shd w:val="clear" w:color="auto" w:fill="FFFFFF"/>
        </w:rPr>
        <w:t>  </w:t>
      </w:r>
      <w:r>
        <w:rPr>
          <w:rFonts w:ascii="黑体" w:eastAsia="黑体" w:hAnsi="宋体" w:cs="黑体" w:hint="eastAsia"/>
          <w:color w:val="333333"/>
          <w:sz w:val="30"/>
          <w:szCs w:val="30"/>
          <w:shd w:val="clear" w:color="auto" w:fill="FFFFFF"/>
        </w:rPr>
        <w:t>其他重要事项及相关口径情况说明</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一、机关运行经费支出情况</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二、国有资产占用情况</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三、政府采购支出情况</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四、部门绩效自评情况</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（一）项目支出概况</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（二）项目支出绩效自评</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（三）项目绩效目标管理</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（四）</w:t>
      </w:r>
      <w:r>
        <w:rPr>
          <w:rFonts w:ascii="楷体" w:eastAsia="楷体" w:hAnsi="楷体" w:cs="楷体" w:hint="eastAsia"/>
          <w:color w:val="333333"/>
          <w:sz w:val="30"/>
          <w:szCs w:val="30"/>
          <w:shd w:val="clear" w:color="auto" w:fill="FFFFFF"/>
        </w:rPr>
        <w:t>2018</w:t>
      </w:r>
      <w:r>
        <w:rPr>
          <w:rFonts w:ascii="宋体" w:eastAsia="宋体" w:hAnsi="宋体" w:cs="宋体" w:hint="eastAsia"/>
          <w:color w:val="333333"/>
          <w:sz w:val="30"/>
          <w:szCs w:val="30"/>
          <w:shd w:val="clear" w:color="auto" w:fill="FFFFFF"/>
        </w:rPr>
        <w:t>部门整体支出绩效自评报告</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（五）部门整体支出绩效自评表</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宋体" w:eastAsia="宋体" w:hAnsi="宋体" w:cs="宋体" w:hint="eastAsia"/>
          <w:color w:val="333333"/>
          <w:sz w:val="30"/>
          <w:szCs w:val="30"/>
          <w:shd w:val="clear" w:color="auto" w:fill="FFFFFF"/>
        </w:rPr>
        <w:t>五、其他重要事项情况说明</w:t>
      </w:r>
    </w:p>
    <w:p w:rsidR="00F17834">
      <w:pPr>
        <w:pStyle w:val="NormalWeb"/>
        <w:widowControl/>
        <w:shd w:val="clear" w:color="auto" w:fill="FFFFFF"/>
        <w:spacing w:before="105" w:beforeAutospacing="0" w:after="105" w:afterAutospacing="0" w:line="360" w:lineRule="atLeast"/>
        <w:rPr>
          <w:rFonts w:ascii="微软雅黑" w:eastAsia="微软雅黑" w:hAnsi="微软雅黑" w:cs="微软雅黑"/>
          <w:color w:val="333333"/>
        </w:rPr>
      </w:pPr>
      <w:r>
        <w:rPr>
          <w:rFonts w:ascii="黑体" w:eastAsia="黑体" w:hAnsi="宋体" w:cs="黑体" w:hint="eastAsia"/>
          <w:color w:val="333333"/>
          <w:sz w:val="30"/>
          <w:szCs w:val="30"/>
          <w:shd w:val="clear" w:color="auto" w:fill="FFFFFF"/>
        </w:rPr>
        <w:t>第五部分</w:t>
      </w:r>
      <w:r>
        <w:rPr>
          <w:rFonts w:ascii="黑体" w:eastAsia="黑体" w:hAnsi="宋体" w:cs="黑体" w:hint="eastAsia"/>
          <w:color w:val="333333"/>
          <w:sz w:val="30"/>
          <w:szCs w:val="30"/>
          <w:shd w:val="clear" w:color="auto" w:fill="FFFFFF"/>
        </w:rPr>
        <w:t>  </w:t>
      </w:r>
      <w:r>
        <w:rPr>
          <w:rFonts w:ascii="黑体" w:eastAsia="黑体" w:hAnsi="宋体" w:cs="黑体" w:hint="eastAsia"/>
          <w:color w:val="333333"/>
          <w:sz w:val="30"/>
          <w:szCs w:val="30"/>
          <w:shd w:val="clear" w:color="auto" w:fill="FFFFFF"/>
        </w:rPr>
        <w:t>名词解释</w:t>
      </w:r>
    </w:p>
    <w:p w:rsidR="00F17834">
      <w:pPr>
        <w:pStyle w:val="NormalWeb"/>
        <w:widowControl/>
        <w:shd w:val="clear" w:color="auto" w:fill="FFFFFF"/>
        <w:spacing w:beforeAutospacing="0" w:afterAutospacing="0" w:line="480" w:lineRule="atLeast"/>
        <w:jc w:val="center"/>
        <w:rPr>
          <w:rFonts w:ascii="微软雅黑" w:eastAsia="微软雅黑" w:hAnsi="微软雅黑" w:cs="微软雅黑"/>
          <w:color w:val="333333"/>
        </w:rPr>
      </w:pPr>
      <w:r>
        <w:rPr>
          <w:rFonts w:ascii="黑体" w:eastAsia="黑体" w:hAnsi="宋体" w:cs="黑体" w:hint="eastAsia"/>
          <w:color w:val="333333"/>
          <w:sz w:val="31"/>
          <w:szCs w:val="31"/>
          <w:shd w:val="clear" w:color="auto" w:fill="FFFFFF"/>
        </w:rPr>
        <w:t> </w:t>
      </w:r>
    </w:p>
    <w:p w:rsidR="00F17834">
      <w:pPr>
        <w:pStyle w:val="NormalWeb"/>
        <w:widowControl/>
        <w:shd w:val="clear" w:color="auto" w:fill="FFFFFF"/>
        <w:spacing w:beforeAutospacing="0" w:afterAutospacing="0" w:line="480" w:lineRule="atLeast"/>
        <w:jc w:val="center"/>
        <w:rPr>
          <w:rFonts w:ascii="微软雅黑" w:eastAsia="微软雅黑" w:hAnsi="微软雅黑" w:cs="微软雅黑"/>
          <w:color w:val="333333"/>
        </w:rPr>
      </w:pPr>
      <w:r>
        <w:rPr>
          <w:rFonts w:ascii="黑体" w:eastAsia="黑体" w:hAnsi="宋体" w:cs="黑体" w:hint="eastAsia"/>
          <w:color w:val="333333"/>
          <w:sz w:val="31"/>
          <w:szCs w:val="31"/>
          <w:shd w:val="clear" w:color="auto" w:fill="FFFFFF"/>
        </w:rPr>
        <w:t> </w:t>
      </w:r>
    </w:p>
    <w:p w:rsidR="00F17834">
      <w:pPr>
        <w:pStyle w:val="NormalWeb"/>
        <w:widowControl/>
        <w:shd w:val="clear" w:color="auto" w:fill="FFFFFF"/>
        <w:spacing w:beforeAutospacing="0" w:afterAutospacing="0" w:line="480" w:lineRule="atLeast"/>
        <w:jc w:val="center"/>
        <w:rPr>
          <w:rFonts w:ascii="微软雅黑" w:eastAsia="微软雅黑" w:hAnsi="微软雅黑" w:cs="微软雅黑"/>
          <w:color w:val="333333"/>
        </w:rPr>
      </w:pPr>
      <w:r>
        <w:rPr>
          <w:rFonts w:ascii="黑体" w:eastAsia="黑体" w:hAnsi="宋体" w:cs="黑体" w:hint="eastAsia"/>
          <w:color w:val="333333"/>
          <w:sz w:val="31"/>
          <w:szCs w:val="31"/>
          <w:shd w:val="clear" w:color="auto" w:fill="FFFFFF"/>
        </w:rPr>
        <w:t> </w:t>
      </w:r>
    </w:p>
    <w:p w:rsidR="00F17834">
      <w:pPr>
        <w:pStyle w:val="NormalWeb"/>
        <w:widowControl/>
        <w:shd w:val="clear" w:color="auto" w:fill="FFFFFF"/>
        <w:spacing w:beforeAutospacing="0" w:afterAutospacing="0" w:line="480" w:lineRule="atLeast"/>
        <w:jc w:val="center"/>
        <w:rPr>
          <w:rFonts w:ascii="微软雅黑" w:eastAsia="微软雅黑" w:hAnsi="微软雅黑" w:cs="微软雅黑"/>
          <w:color w:val="333333"/>
        </w:rPr>
      </w:pPr>
      <w:r>
        <w:rPr>
          <w:rFonts w:ascii="黑体" w:eastAsia="黑体" w:hAnsi="宋体" w:cs="黑体" w:hint="eastAsia"/>
          <w:color w:val="333333"/>
          <w:sz w:val="31"/>
          <w:szCs w:val="31"/>
          <w:shd w:val="clear" w:color="auto" w:fill="FFFFFF"/>
        </w:rPr>
        <w:t> </w:t>
      </w:r>
    </w:p>
    <w:p w:rsidR="00F17834">
      <w:pPr>
        <w:pStyle w:val="NormalWeb"/>
        <w:widowControl/>
        <w:shd w:val="clear" w:color="auto" w:fill="FFFFFF"/>
        <w:spacing w:beforeAutospacing="0" w:afterAutospacing="0" w:line="480" w:lineRule="atLeast"/>
        <w:jc w:val="center"/>
        <w:rPr>
          <w:rFonts w:ascii="微软雅黑" w:eastAsia="微软雅黑" w:hAnsi="微软雅黑" w:cs="微软雅黑"/>
          <w:color w:val="333333"/>
        </w:rPr>
      </w:pPr>
      <w:r>
        <w:rPr>
          <w:rFonts w:ascii="黑体" w:eastAsia="黑体" w:hAnsi="宋体" w:cs="黑体" w:hint="eastAsia"/>
          <w:color w:val="333333"/>
          <w:sz w:val="31"/>
          <w:szCs w:val="31"/>
          <w:shd w:val="clear" w:color="auto" w:fill="FFFFFF"/>
        </w:rPr>
        <w:t> </w:t>
      </w:r>
    </w:p>
    <w:p w:rsidR="00F17834">
      <w:pPr>
        <w:pStyle w:val="NormalWeb"/>
        <w:widowControl/>
        <w:shd w:val="clear" w:color="auto" w:fill="FFFFFF"/>
        <w:spacing w:beforeAutospacing="0" w:afterAutospacing="0" w:line="480" w:lineRule="atLeast"/>
        <w:jc w:val="center"/>
        <w:rPr>
          <w:rFonts w:ascii="微软雅黑" w:eastAsia="微软雅黑" w:hAnsi="微软雅黑" w:cs="微软雅黑"/>
          <w:color w:val="333333"/>
        </w:rPr>
      </w:pPr>
      <w:r>
        <w:rPr>
          <w:rFonts w:ascii="黑体" w:eastAsia="黑体" w:hAnsi="宋体" w:cs="黑体" w:hint="eastAsia"/>
          <w:color w:val="333333"/>
          <w:sz w:val="31"/>
          <w:szCs w:val="31"/>
          <w:shd w:val="clear" w:color="auto" w:fill="FFFFFF"/>
        </w:rPr>
        <w:t> </w:t>
      </w:r>
    </w:p>
    <w:p w:rsidR="00F17834">
      <w:pPr>
        <w:pStyle w:val="NormalWeb"/>
        <w:widowControl/>
        <w:shd w:val="clear" w:color="auto" w:fill="FFFFFF"/>
        <w:spacing w:beforeAutospacing="0" w:afterAutospacing="0" w:line="480" w:lineRule="atLeast"/>
        <w:jc w:val="center"/>
        <w:rPr>
          <w:rFonts w:ascii="微软雅黑" w:eastAsia="微软雅黑" w:hAnsi="微软雅黑" w:cs="微软雅黑"/>
          <w:color w:val="333333"/>
        </w:rPr>
      </w:pPr>
      <w:r>
        <w:rPr>
          <w:rFonts w:ascii="黑体" w:eastAsia="黑体" w:hAnsi="宋体" w:cs="黑体" w:hint="eastAsia"/>
          <w:color w:val="333333"/>
          <w:sz w:val="31"/>
          <w:szCs w:val="31"/>
          <w:shd w:val="clear" w:color="auto" w:fill="FFFFFF"/>
        </w:rPr>
        <w:t> </w:t>
      </w:r>
    </w:p>
    <w:p w:rsidR="00F17834">
      <w:pPr>
        <w:pStyle w:val="NormalWeb"/>
        <w:widowControl/>
        <w:shd w:val="clear" w:color="auto" w:fill="FFFFFF"/>
        <w:spacing w:beforeAutospacing="0" w:afterAutospacing="0" w:line="480" w:lineRule="atLeast"/>
        <w:jc w:val="center"/>
        <w:rPr>
          <w:rFonts w:ascii="微软雅黑" w:eastAsia="微软雅黑" w:hAnsi="微软雅黑" w:cs="微软雅黑"/>
          <w:color w:val="333333"/>
        </w:rPr>
      </w:pPr>
      <w:r>
        <w:rPr>
          <w:rFonts w:ascii="黑体" w:eastAsia="黑体" w:hAnsi="宋体" w:cs="黑体" w:hint="eastAsia"/>
          <w:color w:val="333333"/>
          <w:sz w:val="31"/>
          <w:szCs w:val="31"/>
          <w:shd w:val="clear" w:color="auto" w:fill="FFFFFF"/>
        </w:rPr>
        <w:t> </w:t>
      </w:r>
    </w:p>
    <w:p w:rsidR="00F17834">
      <w:pPr>
        <w:pStyle w:val="NormalWeb"/>
        <w:widowControl/>
        <w:shd w:val="clear" w:color="auto" w:fill="FFFFFF"/>
        <w:spacing w:beforeAutospacing="0" w:afterAutospacing="0" w:line="480" w:lineRule="atLeast"/>
        <w:rPr>
          <w:rFonts w:ascii="微软雅黑" w:eastAsia="微软雅黑" w:hAnsi="微软雅黑" w:cs="微软雅黑"/>
          <w:color w:val="333333"/>
        </w:rPr>
      </w:pPr>
      <w:r>
        <w:rPr>
          <w:rFonts w:ascii="黑体" w:eastAsia="黑体" w:hAnsi="宋体" w:cs="黑体" w:hint="eastAsia"/>
          <w:color w:val="333333"/>
          <w:sz w:val="31"/>
          <w:szCs w:val="31"/>
          <w:shd w:val="clear" w:color="auto" w:fill="FFFFFF"/>
        </w:rPr>
        <w:t> </w:t>
      </w:r>
    </w:p>
    <w:p w:rsidR="00F17834">
      <w:pPr>
        <w:pStyle w:val="NormalWeb"/>
        <w:widowControl/>
        <w:shd w:val="clear" w:color="auto" w:fill="FFFFFF"/>
        <w:spacing w:beforeAutospacing="0" w:afterAutospacing="0" w:line="480" w:lineRule="atLeast"/>
        <w:jc w:val="center"/>
        <w:rPr>
          <w:rFonts w:ascii="黑体" w:eastAsia="黑体" w:hAnsi="宋体" w:cs="黑体"/>
          <w:color w:val="333333"/>
          <w:sz w:val="31"/>
          <w:szCs w:val="31"/>
          <w:shd w:val="clear" w:color="auto" w:fill="FFFFFF"/>
        </w:rPr>
      </w:pPr>
    </w:p>
    <w:p w:rsidR="00F17834">
      <w:pPr>
        <w:pStyle w:val="NormalWeb"/>
        <w:widowControl/>
        <w:shd w:val="clear" w:color="auto" w:fill="FFFFFF"/>
        <w:spacing w:beforeAutospacing="0" w:afterAutospacing="0" w:line="480" w:lineRule="atLeast"/>
        <w:jc w:val="center"/>
        <w:rPr>
          <w:rFonts w:ascii="黑体" w:eastAsia="黑体" w:hAnsi="宋体" w:cs="黑体"/>
          <w:color w:val="333333"/>
          <w:sz w:val="31"/>
          <w:szCs w:val="31"/>
          <w:shd w:val="clear" w:color="auto" w:fill="FFFFFF"/>
        </w:rPr>
      </w:pPr>
    </w:p>
    <w:p w:rsidR="00F17834">
      <w:pPr>
        <w:pStyle w:val="NormalWeb"/>
        <w:widowControl/>
        <w:shd w:val="clear" w:color="auto" w:fill="FFFFFF"/>
        <w:spacing w:beforeAutospacing="0" w:afterAutospacing="0" w:line="480" w:lineRule="atLeast"/>
        <w:jc w:val="center"/>
        <w:rPr>
          <w:rFonts w:ascii="黑体" w:eastAsia="黑体" w:hAnsi="黑体" w:cs="黑体"/>
          <w:color w:val="333333"/>
          <w:sz w:val="32"/>
          <w:szCs w:val="32"/>
          <w:shd w:val="clear" w:color="auto" w:fill="FFFFFF"/>
        </w:rPr>
      </w:pPr>
    </w:p>
    <w:p w:rsidR="00F17834">
      <w:pPr>
        <w:pStyle w:val="NormalWeb"/>
        <w:widowControl/>
        <w:shd w:val="clear" w:color="auto" w:fill="FFFFFF"/>
        <w:spacing w:beforeAutospacing="0" w:afterAutospacing="0" w:line="480" w:lineRule="atLeast"/>
        <w:jc w:val="center"/>
        <w:rPr>
          <w:rFonts w:ascii="黑体" w:eastAsia="黑体" w:hAnsi="黑体" w:cs="黑体"/>
          <w:color w:val="333333"/>
          <w:sz w:val="32"/>
          <w:szCs w:val="32"/>
        </w:rPr>
      </w:pPr>
      <w:r>
        <w:rPr>
          <w:rFonts w:ascii="黑体" w:eastAsia="黑体" w:hAnsi="黑体" w:cs="黑体" w:hint="eastAsia"/>
          <w:color w:val="333333"/>
          <w:sz w:val="32"/>
          <w:szCs w:val="32"/>
          <w:shd w:val="clear" w:color="auto" w:fill="FFFFFF"/>
        </w:rPr>
        <w:t>第一部分</w:t>
      </w:r>
      <w:r>
        <w:rPr>
          <w:rFonts w:ascii="黑体" w:eastAsia="黑体" w:hAnsi="黑体" w:cs="黑体" w:hint="eastAsia"/>
          <w:color w:val="333333"/>
          <w:sz w:val="32"/>
          <w:szCs w:val="32"/>
          <w:shd w:val="clear" w:color="auto" w:fill="FFFFFF"/>
        </w:rPr>
        <w:t>  </w:t>
      </w:r>
      <w:r>
        <w:rPr>
          <w:rFonts w:ascii="黑体" w:eastAsia="黑体" w:hAnsi="黑体" w:cs="黑体" w:hint="eastAsia"/>
          <w:color w:val="333333"/>
          <w:sz w:val="32"/>
          <w:szCs w:val="32"/>
          <w:shd w:val="clear" w:color="auto" w:fill="FFFFFF"/>
        </w:rPr>
        <w:t>单位概况</w:t>
      </w:r>
    </w:p>
    <w:p w:rsidR="00F17834">
      <w:pPr>
        <w:pStyle w:val="NormalWeb"/>
        <w:widowControl/>
        <w:shd w:val="clear" w:color="auto" w:fill="FFFFFF"/>
        <w:spacing w:beforeAutospacing="0" w:afterAutospacing="0" w:line="60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一、主要职能</w:t>
      </w:r>
    </w:p>
    <w:p w:rsidR="00F17834">
      <w:pPr>
        <w:pStyle w:val="NormalWeb"/>
        <w:widowControl/>
        <w:shd w:val="clear" w:color="auto" w:fill="FFFFFF"/>
        <w:spacing w:beforeAutospacing="0" w:afterAutospacing="0" w:line="60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（一）主要职能</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1</w:t>
      </w:r>
      <w:r>
        <w:rPr>
          <w:rFonts w:ascii="仿宋_GB2312" w:eastAsia="仿宋_GB2312" w:hAnsi="仿宋_GB2312" w:cs="仿宋_GB2312" w:hint="eastAsia"/>
          <w:color w:val="333333"/>
          <w:sz w:val="32"/>
          <w:szCs w:val="32"/>
        </w:rPr>
        <w:t>、贯彻执行国家、省有关城市规划方针、政策，组织实施《中华人民共和国城市规划法》和有关法规及本州城市总体规划，研究拟订本州规划管理工作的规范性文件。</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2</w:t>
      </w:r>
      <w:r>
        <w:rPr>
          <w:rFonts w:ascii="仿宋_GB2312" w:eastAsia="仿宋_GB2312" w:hAnsi="仿宋_GB2312" w:cs="仿宋_GB2312" w:hint="eastAsia"/>
          <w:color w:val="333333"/>
          <w:sz w:val="32"/>
          <w:szCs w:val="32"/>
        </w:rPr>
        <w:t>、参与或组织城市总体规划、区域规划、分区规划、专项规划，详细规划和有关专业的编制报批实施和管理工作，参与重大建设项目选址工作和科研评审。</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3</w:t>
      </w:r>
      <w:r>
        <w:rPr>
          <w:rFonts w:ascii="仿宋_GB2312" w:eastAsia="仿宋_GB2312" w:hAnsi="仿宋_GB2312" w:cs="仿宋_GB2312" w:hint="eastAsia"/>
          <w:color w:val="333333"/>
          <w:sz w:val="32"/>
          <w:szCs w:val="32"/>
        </w:rPr>
        <w:t>、负责规划区内建设用地和建设工程的规划管理，包括对建设项目的选址，规划设计和市政设计等的规划审批，对建设工程包括市场工程的设计院和建筑方案的规划审批，核发《建设项目选址意见书》、《建设用地规划许可证》、《建设工程规划许可</w:t>
      </w:r>
      <w:r>
        <w:rPr>
          <w:rFonts w:ascii="仿宋_GB2312" w:eastAsia="仿宋_GB2312" w:hAnsi="仿宋_GB2312" w:cs="仿宋_GB2312" w:hint="eastAsia"/>
          <w:color w:val="333333"/>
          <w:sz w:val="32"/>
          <w:szCs w:val="32"/>
        </w:rPr>
        <w:t>证》负责临时用地。临时建设、城市雕塑和户外广告的规划</w:t>
      </w:r>
      <w:r>
        <w:rPr>
          <w:rFonts w:ascii="仿宋_GB2312" w:eastAsia="仿宋_GB2312" w:hAnsi="仿宋_GB2312" w:cs="仿宋_GB2312" w:hint="eastAsia"/>
          <w:color w:val="333333"/>
          <w:sz w:val="32"/>
          <w:szCs w:val="32"/>
        </w:rPr>
        <w:t>管理与批工作</w:t>
      </w:r>
      <w:r>
        <w:rPr>
          <w:rFonts w:ascii="仿宋_GB2312" w:eastAsia="仿宋_GB2312" w:hAnsi="仿宋_GB2312" w:cs="仿宋_GB2312" w:hint="eastAsia"/>
          <w:color w:val="333333"/>
          <w:sz w:val="32"/>
          <w:szCs w:val="32"/>
        </w:rPr>
        <w:t>。</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4</w:t>
      </w:r>
      <w:r>
        <w:rPr>
          <w:rFonts w:ascii="仿宋_GB2312" w:eastAsia="仿宋_GB2312" w:hAnsi="仿宋_GB2312" w:cs="仿宋_GB2312" w:hint="eastAsia"/>
          <w:color w:val="333333"/>
          <w:sz w:val="32"/>
          <w:szCs w:val="32"/>
        </w:rPr>
        <w:t>、负责对建设工程放线、验收管理、参与建设工程的竣工验收和负责泉州规划档案管理工作。</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5</w:t>
      </w:r>
      <w:r>
        <w:rPr>
          <w:rFonts w:ascii="仿宋_GB2312" w:eastAsia="仿宋_GB2312" w:hAnsi="仿宋_GB2312" w:cs="仿宋_GB2312" w:hint="eastAsia"/>
          <w:color w:val="333333"/>
          <w:sz w:val="32"/>
          <w:szCs w:val="32"/>
        </w:rPr>
        <w:t>、负责对全州规划设计市场、城市规划测绘工作的管理，负责卫华管理城市规划区内各类测量标志。</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6</w:t>
      </w:r>
      <w:r>
        <w:rPr>
          <w:rFonts w:ascii="仿宋_GB2312" w:eastAsia="仿宋_GB2312" w:hAnsi="仿宋_GB2312" w:cs="仿宋_GB2312" w:hint="eastAsia"/>
          <w:color w:val="333333"/>
          <w:sz w:val="32"/>
          <w:szCs w:val="32"/>
        </w:rPr>
        <w:t>、负责城市规划监察，对违法用地和违法建设等违反城市规划的行为依法进行查处。</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7</w:t>
      </w:r>
      <w:r>
        <w:rPr>
          <w:rFonts w:ascii="仿宋_GB2312" w:eastAsia="仿宋_GB2312" w:hAnsi="仿宋_GB2312" w:cs="仿宋_GB2312" w:hint="eastAsia"/>
          <w:color w:val="333333"/>
          <w:sz w:val="32"/>
          <w:szCs w:val="32"/>
        </w:rPr>
        <w:t>、负责指导州域内各县城市规划编制，做好审查、报批工作，对泉州城市规划执行情况进行监督、检查，并做好协调工作，对全州城市规划建设进行宏观管理。</w:t>
      </w:r>
    </w:p>
    <w:p w:rsidR="00F17834">
      <w:pPr>
        <w:pStyle w:val="NormalWeb"/>
        <w:widowControl/>
        <w:shd w:val="clear" w:color="auto" w:fill="FFFFFF"/>
        <w:spacing w:before="90" w:beforeAutospacing="0" w:afterAutospacing="0" w:line="600" w:lineRule="atLeast"/>
        <w:ind w:firstLine="63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（二）</w:t>
      </w: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年度重点工作任务介绍</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1</w:t>
      </w:r>
      <w:r>
        <w:rPr>
          <w:rFonts w:ascii="仿宋_GB2312" w:eastAsia="仿宋_GB2312" w:hAnsi="仿宋_GB2312" w:cs="仿宋_GB2312" w:hint="eastAsia"/>
          <w:color w:val="333333"/>
          <w:sz w:val="32"/>
          <w:szCs w:val="32"/>
        </w:rPr>
        <w:t>、健全</w:t>
      </w:r>
      <w:r>
        <w:rPr>
          <w:rFonts w:ascii="仿宋_GB2312" w:eastAsia="仿宋_GB2312" w:hAnsi="仿宋_GB2312" w:cs="仿宋_GB2312" w:hint="eastAsia"/>
          <w:color w:val="333333"/>
          <w:sz w:val="32"/>
          <w:szCs w:val="32"/>
        </w:rPr>
        <w:t>完善城乡规划管理委员会的决策机制，推进各级各类规划的统筹衔接。</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2</w:t>
      </w:r>
      <w:r>
        <w:rPr>
          <w:rFonts w:ascii="仿宋_GB2312" w:eastAsia="仿宋_GB2312" w:hAnsi="仿宋_GB2312" w:cs="仿宋_GB2312" w:hint="eastAsia"/>
          <w:color w:val="333333"/>
          <w:sz w:val="32"/>
          <w:szCs w:val="32"/>
        </w:rPr>
        <w:t>、严格执行“三个一”规划审批，强化规划的刚性约束。</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3</w:t>
      </w:r>
      <w:r>
        <w:rPr>
          <w:rFonts w:ascii="仿宋_GB2312" w:eastAsia="仿宋_GB2312" w:hAnsi="仿宋_GB2312" w:cs="仿宋_GB2312" w:hint="eastAsia"/>
          <w:color w:val="333333"/>
          <w:sz w:val="32"/>
          <w:szCs w:val="32"/>
        </w:rPr>
        <w:t>、开展新一轮的香格里拉市总体规划修编和详规编制工作。</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4</w:t>
      </w:r>
      <w:r>
        <w:rPr>
          <w:rFonts w:ascii="仿宋_GB2312" w:eastAsia="仿宋_GB2312" w:hAnsi="仿宋_GB2312" w:cs="仿宋_GB2312" w:hint="eastAsia"/>
          <w:color w:val="333333"/>
          <w:sz w:val="32"/>
          <w:szCs w:val="32"/>
        </w:rPr>
        <w:t>、严格城乡规划监察，提升完善集镇和村庄规划，加大农村建房规划的许可管理。</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5</w:t>
      </w:r>
      <w:r>
        <w:rPr>
          <w:rFonts w:ascii="仿宋_GB2312" w:eastAsia="仿宋_GB2312" w:hAnsi="仿宋_GB2312" w:cs="仿宋_GB2312" w:hint="eastAsia"/>
          <w:color w:val="333333"/>
          <w:sz w:val="32"/>
          <w:szCs w:val="32"/>
        </w:rPr>
        <w:t>、积极参加康巴艺术节各类大型活动。</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6</w:t>
      </w:r>
      <w:r>
        <w:rPr>
          <w:rFonts w:ascii="仿宋_GB2312" w:eastAsia="仿宋_GB2312" w:hAnsi="仿宋_GB2312" w:cs="仿宋_GB2312" w:hint="eastAsia"/>
          <w:color w:val="333333"/>
          <w:sz w:val="32"/>
          <w:szCs w:val="32"/>
        </w:rPr>
        <w:t>、全面完成园林绿化工作任务。</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7</w:t>
      </w:r>
      <w:r>
        <w:rPr>
          <w:rFonts w:ascii="仿宋_GB2312" w:eastAsia="仿宋_GB2312" w:hAnsi="仿宋_GB2312" w:cs="仿宋_GB2312" w:hint="eastAsia"/>
          <w:color w:val="333333"/>
          <w:sz w:val="32"/>
          <w:szCs w:val="32"/>
        </w:rPr>
        <w:t>、全面完成年度精准扶贫工作任务。</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8</w:t>
      </w:r>
      <w:r>
        <w:rPr>
          <w:rFonts w:ascii="仿宋_GB2312" w:eastAsia="仿宋_GB2312" w:hAnsi="仿宋_GB2312" w:cs="仿宋_GB2312" w:hint="eastAsia"/>
          <w:color w:val="333333"/>
          <w:sz w:val="32"/>
          <w:szCs w:val="32"/>
        </w:rPr>
        <w:t>、组织完成全州</w:t>
      </w:r>
      <w:r>
        <w:rPr>
          <w:rFonts w:ascii="仿宋_GB2312" w:eastAsia="仿宋_GB2312" w:hAnsi="仿宋_GB2312" w:cs="仿宋_GB2312" w:hint="eastAsia"/>
          <w:color w:val="333333"/>
          <w:sz w:val="32"/>
          <w:szCs w:val="32"/>
        </w:rPr>
        <w:t>5</w:t>
      </w:r>
      <w:r>
        <w:rPr>
          <w:rFonts w:ascii="仿宋_GB2312" w:eastAsia="仿宋_GB2312" w:hAnsi="仿宋_GB2312" w:cs="仿宋_GB2312" w:hint="eastAsia"/>
          <w:color w:val="333333"/>
          <w:sz w:val="32"/>
          <w:szCs w:val="32"/>
        </w:rPr>
        <w:t>个重点项目规划审查和香格里拉中心城市的规划审查工作。</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9</w:t>
      </w:r>
      <w:r>
        <w:rPr>
          <w:rFonts w:ascii="仿宋_GB2312" w:eastAsia="仿宋_GB2312" w:hAnsi="仿宋_GB2312" w:cs="仿宋_GB2312" w:hint="eastAsia"/>
          <w:color w:val="333333"/>
          <w:sz w:val="32"/>
          <w:szCs w:val="32"/>
        </w:rPr>
        <w:t>、完成州招商委下达的年度招商引资工作任务。</w:t>
      </w:r>
    </w:p>
    <w:p w:rsidR="00F17834">
      <w:pPr>
        <w:rPr>
          <w:rFonts w:ascii="华文楷体" w:eastAsia="华文楷体" w:hAnsi="华文楷体" w:cs="华文楷体"/>
          <w:szCs w:val="32"/>
        </w:rPr>
      </w:pPr>
    </w:p>
    <w:p w:rsidR="00F17834">
      <w:pPr>
        <w:pStyle w:val="NormalWeb"/>
        <w:widowControl/>
        <w:shd w:val="clear" w:color="auto" w:fill="FFFFFF"/>
        <w:spacing w:before="90" w:beforeAutospacing="0" w:afterAutospacing="0" w:line="600" w:lineRule="atLeast"/>
        <w:rPr>
          <w:rFonts w:ascii="华文楷体" w:eastAsia="华文楷体" w:hAnsi="华文楷体" w:cs="华文楷体"/>
          <w:szCs w:val="32"/>
        </w:rPr>
      </w:pPr>
    </w:p>
    <w:p w:rsidR="00F17834">
      <w:pPr>
        <w:pStyle w:val="NormalWeb"/>
        <w:widowControl/>
        <w:shd w:val="clear" w:color="auto" w:fill="FFFFFF"/>
        <w:spacing w:beforeAutospacing="0" w:afterAutospacing="0" w:line="480" w:lineRule="atLeast"/>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二、部门基本情况</w:t>
      </w:r>
    </w:p>
    <w:p w:rsidR="00F17834">
      <w:pPr>
        <w:pStyle w:val="NormalWeb"/>
        <w:widowControl/>
        <w:shd w:val="clear" w:color="auto" w:fill="FFFFFF"/>
        <w:spacing w:beforeAutospacing="0" w:afterAutospacing="0" w:line="60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（一）部门决算单位构成</w:t>
      </w:r>
    </w:p>
    <w:p w:rsidR="00F17834">
      <w:pPr>
        <w:pStyle w:val="NormalWeb"/>
        <w:widowControl/>
        <w:shd w:val="clear" w:color="auto" w:fill="FFFFFF"/>
        <w:spacing w:beforeAutospacing="0" w:afterAutospacing="0" w:line="560" w:lineRule="exac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迪庆州</w:t>
      </w:r>
      <w:r>
        <w:rPr>
          <w:rFonts w:ascii="仿宋_GB2312" w:eastAsia="仿宋_GB2312" w:hAnsi="仿宋_GB2312" w:cs="仿宋_GB2312" w:hint="eastAsia"/>
          <w:color w:val="333333"/>
          <w:sz w:val="32"/>
          <w:szCs w:val="32"/>
          <w:shd w:val="clear" w:color="auto" w:fill="FFFFFF"/>
        </w:rPr>
        <w:t>城乡规划管理局</w:t>
      </w:r>
      <w:r>
        <w:rPr>
          <w:rFonts w:ascii="仿宋_GB2312" w:eastAsia="仿宋_GB2312" w:hAnsi="仿宋_GB2312" w:cs="仿宋_GB2312" w:hint="eastAsia"/>
          <w:color w:val="333333"/>
          <w:sz w:val="32"/>
          <w:szCs w:val="32"/>
          <w:shd w:val="clear" w:color="auto" w:fill="FFFFFF"/>
        </w:rPr>
        <w:t>部门</w:t>
      </w: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年度部门决算编报的单位共</w:t>
      </w:r>
      <w:r>
        <w:rPr>
          <w:rFonts w:ascii="仿宋_GB2312" w:eastAsia="仿宋_GB2312" w:hAnsi="仿宋_GB2312" w:cs="仿宋_GB2312" w:hint="eastAsia"/>
          <w:color w:val="333333"/>
          <w:sz w:val="32"/>
          <w:szCs w:val="32"/>
          <w:shd w:val="clear" w:color="auto" w:fill="FFFFFF"/>
        </w:rPr>
        <w:t>1</w:t>
      </w:r>
      <w:r>
        <w:rPr>
          <w:rFonts w:ascii="仿宋_GB2312" w:eastAsia="仿宋_GB2312" w:hAnsi="仿宋_GB2312" w:cs="仿宋_GB2312" w:hint="eastAsia"/>
          <w:color w:val="333333"/>
          <w:sz w:val="32"/>
          <w:szCs w:val="32"/>
          <w:shd w:val="clear" w:color="auto" w:fill="FFFFFF"/>
        </w:rPr>
        <w:t>个。</w:t>
      </w:r>
      <w:r>
        <w:rPr>
          <w:rFonts w:ascii="仿宋_GB2312" w:eastAsia="仿宋_GB2312" w:hAnsi="仿宋_GB2312" w:cs="仿宋_GB2312" w:hint="eastAsia"/>
          <w:color w:val="333333"/>
          <w:sz w:val="32"/>
          <w:szCs w:val="32"/>
        </w:rPr>
        <w:t>其中：财政全供给单位</w:t>
      </w:r>
      <w:r>
        <w:rPr>
          <w:rFonts w:ascii="仿宋_GB2312" w:eastAsia="仿宋_GB2312" w:hAnsi="仿宋_GB2312" w:cs="仿宋_GB2312" w:hint="eastAsia"/>
          <w:color w:val="333333"/>
          <w:sz w:val="32"/>
          <w:szCs w:val="32"/>
        </w:rPr>
        <w:t>1</w:t>
      </w:r>
      <w:r>
        <w:rPr>
          <w:rFonts w:ascii="仿宋_GB2312" w:eastAsia="仿宋_GB2312" w:hAnsi="仿宋_GB2312" w:cs="仿宋_GB2312" w:hint="eastAsia"/>
          <w:color w:val="333333"/>
          <w:sz w:val="32"/>
          <w:szCs w:val="32"/>
        </w:rPr>
        <w:t>个。</w:t>
      </w:r>
    </w:p>
    <w:p w:rsidR="00F17834">
      <w:pPr>
        <w:pStyle w:val="NormalWeb"/>
        <w:widowControl/>
        <w:shd w:val="clear" w:color="auto" w:fill="FFFFFF"/>
        <w:spacing w:beforeAutospacing="0" w:afterAutospacing="0" w:line="600" w:lineRule="atLeast"/>
        <w:ind w:firstLine="600"/>
        <w:rPr>
          <w:rFonts w:ascii="仿宋_GB2312" w:eastAsia="仿宋_GB2312" w:hAnsi="仿宋_GB2312" w:cs="仿宋_GB2312"/>
          <w:color w:val="333333"/>
          <w:sz w:val="32"/>
          <w:szCs w:val="32"/>
        </w:rPr>
      </w:pP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（二）部门人员和车辆的编制及实有情况</w:t>
      </w:r>
    </w:p>
    <w:p w:rsidR="00F17834">
      <w:pPr>
        <w:pStyle w:val="NormalWeb"/>
        <w:widowControl/>
        <w:shd w:val="clear" w:color="auto" w:fill="FFFFFF"/>
        <w:spacing w:beforeAutospacing="0" w:afterAutospacing="0" w:line="560" w:lineRule="exac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单位编制数为</w:t>
      </w:r>
      <w:r>
        <w:rPr>
          <w:rFonts w:ascii="仿宋_GB2312" w:eastAsia="仿宋_GB2312" w:hAnsi="仿宋_GB2312" w:cs="仿宋_GB2312" w:hint="eastAsia"/>
          <w:color w:val="333333"/>
          <w:sz w:val="32"/>
          <w:szCs w:val="32"/>
        </w:rPr>
        <w:t>14</w:t>
      </w:r>
      <w:r>
        <w:rPr>
          <w:rFonts w:ascii="仿宋_GB2312" w:eastAsia="仿宋_GB2312" w:hAnsi="仿宋_GB2312" w:cs="仿宋_GB2312" w:hint="eastAsia"/>
          <w:color w:val="333333"/>
          <w:sz w:val="32"/>
          <w:szCs w:val="32"/>
        </w:rPr>
        <w:t>人，其中</w:t>
      </w:r>
      <w:r>
        <w:rPr>
          <w:rFonts w:ascii="仿宋_GB2312" w:eastAsia="仿宋_GB2312" w:hAnsi="仿宋_GB2312" w:cs="仿宋_GB2312" w:hint="eastAsia"/>
          <w:color w:val="333333"/>
          <w:sz w:val="32"/>
          <w:szCs w:val="32"/>
        </w:rPr>
        <w:t>:</w:t>
      </w:r>
      <w:r>
        <w:rPr>
          <w:rFonts w:ascii="仿宋_GB2312" w:eastAsia="仿宋_GB2312" w:hAnsi="仿宋_GB2312" w:cs="仿宋_GB2312" w:hint="eastAsia"/>
          <w:color w:val="333333"/>
          <w:sz w:val="32"/>
          <w:szCs w:val="32"/>
        </w:rPr>
        <w:t>行政编</w:t>
      </w:r>
      <w:r>
        <w:rPr>
          <w:rFonts w:ascii="仿宋_GB2312" w:eastAsia="仿宋_GB2312" w:hAnsi="仿宋_GB2312" w:cs="仿宋_GB2312" w:hint="eastAsia"/>
          <w:color w:val="333333"/>
          <w:sz w:val="32"/>
          <w:szCs w:val="32"/>
        </w:rPr>
        <w:t>7</w:t>
      </w:r>
      <w:r>
        <w:rPr>
          <w:rFonts w:ascii="仿宋_GB2312" w:eastAsia="仿宋_GB2312" w:hAnsi="仿宋_GB2312" w:cs="仿宋_GB2312" w:hint="eastAsia"/>
          <w:color w:val="333333"/>
          <w:sz w:val="32"/>
          <w:szCs w:val="32"/>
        </w:rPr>
        <w:t>人，行</w:t>
      </w:r>
      <w:r>
        <w:rPr>
          <w:rFonts w:ascii="仿宋_GB2312" w:eastAsia="仿宋_GB2312" w:hAnsi="仿宋_GB2312" w:cs="仿宋_GB2312" w:hint="eastAsia"/>
          <w:color w:val="333333"/>
          <w:sz w:val="32"/>
          <w:szCs w:val="32"/>
        </w:rPr>
        <w:t>政工勤编</w:t>
      </w:r>
      <w:r>
        <w:rPr>
          <w:rFonts w:ascii="仿宋_GB2312" w:eastAsia="仿宋_GB2312" w:hAnsi="仿宋_GB2312" w:cs="仿宋_GB2312" w:hint="eastAsia"/>
          <w:color w:val="333333"/>
          <w:sz w:val="32"/>
          <w:szCs w:val="32"/>
        </w:rPr>
        <w:t>2</w:t>
      </w:r>
      <w:r>
        <w:rPr>
          <w:rFonts w:ascii="仿宋_GB2312" w:eastAsia="仿宋_GB2312" w:hAnsi="仿宋_GB2312" w:cs="仿宋_GB2312" w:hint="eastAsia"/>
          <w:color w:val="333333"/>
          <w:sz w:val="32"/>
          <w:szCs w:val="32"/>
        </w:rPr>
        <w:t>人，事业人员编</w:t>
      </w:r>
      <w:r>
        <w:rPr>
          <w:rFonts w:ascii="仿宋_GB2312" w:eastAsia="仿宋_GB2312" w:hAnsi="仿宋_GB2312" w:cs="仿宋_GB2312" w:hint="eastAsia"/>
          <w:color w:val="333333"/>
          <w:sz w:val="32"/>
          <w:szCs w:val="32"/>
        </w:rPr>
        <w:t>7</w:t>
      </w:r>
      <w:r>
        <w:rPr>
          <w:rFonts w:ascii="仿宋_GB2312" w:eastAsia="仿宋_GB2312" w:hAnsi="仿宋_GB2312" w:cs="仿宋_GB2312" w:hint="eastAsia"/>
          <w:color w:val="333333"/>
          <w:sz w:val="32"/>
          <w:szCs w:val="32"/>
        </w:rPr>
        <w:t>人。</w:t>
      </w:r>
    </w:p>
    <w:p w:rsidR="00F17834">
      <w:pPr>
        <w:pStyle w:val="NormalWeb"/>
        <w:widowControl/>
        <w:shd w:val="clear" w:color="auto" w:fill="FFFFFF"/>
        <w:spacing w:beforeAutospacing="0" w:afterAutospacing="0" w:line="560" w:lineRule="exac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实际在职人员</w:t>
      </w:r>
      <w:r>
        <w:rPr>
          <w:rFonts w:ascii="仿宋_GB2312" w:eastAsia="仿宋_GB2312" w:hAnsi="仿宋_GB2312" w:cs="仿宋_GB2312" w:hint="eastAsia"/>
          <w:color w:val="333333"/>
          <w:sz w:val="32"/>
          <w:szCs w:val="32"/>
        </w:rPr>
        <w:t>16</w:t>
      </w:r>
      <w:r>
        <w:rPr>
          <w:rFonts w:ascii="仿宋_GB2312" w:eastAsia="仿宋_GB2312" w:hAnsi="仿宋_GB2312" w:cs="仿宋_GB2312" w:hint="eastAsia"/>
          <w:color w:val="333333"/>
          <w:sz w:val="32"/>
          <w:szCs w:val="32"/>
        </w:rPr>
        <w:t>人，全部由财政全供养。其中：公务员</w:t>
      </w:r>
      <w:r>
        <w:rPr>
          <w:rFonts w:ascii="仿宋_GB2312" w:eastAsia="仿宋_GB2312" w:hAnsi="仿宋_GB2312" w:cs="仿宋_GB2312" w:hint="eastAsia"/>
          <w:color w:val="333333"/>
          <w:sz w:val="32"/>
          <w:szCs w:val="32"/>
        </w:rPr>
        <w:t>10</w:t>
      </w:r>
      <w:r>
        <w:rPr>
          <w:rFonts w:ascii="仿宋_GB2312" w:eastAsia="仿宋_GB2312" w:hAnsi="仿宋_GB2312" w:cs="仿宋_GB2312" w:hint="eastAsia"/>
          <w:color w:val="333333"/>
          <w:sz w:val="32"/>
          <w:szCs w:val="32"/>
        </w:rPr>
        <w:t>人，事业管理人员</w:t>
      </w:r>
      <w:r>
        <w:rPr>
          <w:rFonts w:ascii="仿宋_GB2312" w:eastAsia="仿宋_GB2312" w:hAnsi="仿宋_GB2312" w:cs="仿宋_GB2312" w:hint="eastAsia"/>
          <w:color w:val="333333"/>
          <w:sz w:val="32"/>
          <w:szCs w:val="32"/>
        </w:rPr>
        <w:t>6</w:t>
      </w:r>
      <w:r>
        <w:rPr>
          <w:rFonts w:ascii="仿宋_GB2312" w:eastAsia="仿宋_GB2312" w:hAnsi="仿宋_GB2312" w:cs="仿宋_GB2312" w:hint="eastAsia"/>
          <w:color w:val="333333"/>
          <w:sz w:val="32"/>
          <w:szCs w:val="32"/>
        </w:rPr>
        <w:t>人，提前退休</w:t>
      </w:r>
      <w:r>
        <w:rPr>
          <w:rFonts w:ascii="仿宋_GB2312" w:eastAsia="仿宋_GB2312" w:hAnsi="仿宋_GB2312" w:cs="仿宋_GB2312" w:hint="eastAsia"/>
          <w:color w:val="333333"/>
          <w:sz w:val="32"/>
          <w:szCs w:val="32"/>
        </w:rPr>
        <w:t>5</w:t>
      </w:r>
      <w:r>
        <w:rPr>
          <w:rFonts w:ascii="仿宋_GB2312" w:eastAsia="仿宋_GB2312" w:hAnsi="仿宋_GB2312" w:cs="仿宋_GB2312" w:hint="eastAsia"/>
          <w:color w:val="333333"/>
          <w:sz w:val="32"/>
          <w:szCs w:val="32"/>
        </w:rPr>
        <w:t>人，矿业办单列人数</w:t>
      </w:r>
      <w:r>
        <w:rPr>
          <w:rFonts w:ascii="仿宋_GB2312" w:eastAsia="仿宋_GB2312" w:hAnsi="仿宋_GB2312" w:cs="仿宋_GB2312" w:hint="eastAsia"/>
          <w:color w:val="333333"/>
          <w:sz w:val="32"/>
          <w:szCs w:val="32"/>
        </w:rPr>
        <w:t>0</w:t>
      </w:r>
      <w:r>
        <w:rPr>
          <w:rFonts w:ascii="仿宋_GB2312" w:eastAsia="仿宋_GB2312" w:hAnsi="仿宋_GB2312" w:cs="仿宋_GB2312" w:hint="eastAsia"/>
          <w:color w:val="333333"/>
          <w:sz w:val="32"/>
          <w:szCs w:val="32"/>
        </w:rPr>
        <w:t>人，行政工勤</w:t>
      </w:r>
      <w:r>
        <w:rPr>
          <w:rFonts w:ascii="仿宋_GB2312" w:eastAsia="仿宋_GB2312" w:hAnsi="仿宋_GB2312" w:cs="仿宋_GB2312" w:hint="eastAsia"/>
          <w:color w:val="333333"/>
          <w:sz w:val="32"/>
          <w:szCs w:val="32"/>
        </w:rPr>
        <w:t>2</w:t>
      </w:r>
      <w:r>
        <w:rPr>
          <w:rFonts w:ascii="仿宋_GB2312" w:eastAsia="仿宋_GB2312" w:hAnsi="仿宋_GB2312" w:cs="仿宋_GB2312" w:hint="eastAsia"/>
          <w:color w:val="333333"/>
          <w:sz w:val="32"/>
          <w:szCs w:val="32"/>
        </w:rPr>
        <w:t>人。</w:t>
      </w:r>
    </w:p>
    <w:p w:rsidR="00F17834">
      <w:pPr>
        <w:pStyle w:val="NormalWeb"/>
        <w:widowControl/>
        <w:shd w:val="clear" w:color="auto" w:fill="FFFFFF"/>
        <w:spacing w:beforeAutospacing="0" w:afterAutospacing="0" w:line="560" w:lineRule="exac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离退休人员</w:t>
      </w:r>
      <w:r>
        <w:rPr>
          <w:rFonts w:ascii="仿宋_GB2312" w:eastAsia="仿宋_GB2312" w:hAnsi="仿宋_GB2312" w:cs="仿宋_GB2312" w:hint="eastAsia"/>
          <w:color w:val="333333"/>
          <w:sz w:val="32"/>
          <w:szCs w:val="32"/>
        </w:rPr>
        <w:t>0</w:t>
      </w:r>
      <w:r>
        <w:rPr>
          <w:rFonts w:ascii="仿宋_GB2312" w:eastAsia="仿宋_GB2312" w:hAnsi="仿宋_GB2312" w:cs="仿宋_GB2312" w:hint="eastAsia"/>
          <w:color w:val="333333"/>
          <w:sz w:val="32"/>
          <w:szCs w:val="32"/>
        </w:rPr>
        <w:t>人。</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车辆编制</w:t>
      </w:r>
      <w:r>
        <w:rPr>
          <w:rFonts w:ascii="仿宋_GB2312" w:eastAsia="仿宋_GB2312" w:hAnsi="仿宋_GB2312" w:cs="仿宋_GB2312" w:hint="eastAsia"/>
          <w:color w:val="333333"/>
          <w:sz w:val="32"/>
          <w:szCs w:val="32"/>
        </w:rPr>
        <w:t>2</w:t>
      </w:r>
      <w:r>
        <w:rPr>
          <w:rFonts w:ascii="仿宋_GB2312" w:eastAsia="仿宋_GB2312" w:hAnsi="仿宋_GB2312" w:cs="仿宋_GB2312" w:hint="eastAsia"/>
          <w:color w:val="333333"/>
          <w:sz w:val="32"/>
          <w:szCs w:val="32"/>
        </w:rPr>
        <w:t>辆，实有车辆</w:t>
      </w:r>
      <w:r>
        <w:rPr>
          <w:rFonts w:ascii="仿宋_GB2312" w:eastAsia="仿宋_GB2312" w:hAnsi="仿宋_GB2312" w:cs="仿宋_GB2312" w:hint="eastAsia"/>
          <w:color w:val="333333"/>
          <w:sz w:val="32"/>
          <w:szCs w:val="32"/>
        </w:rPr>
        <w:t>2</w:t>
      </w:r>
      <w:r>
        <w:rPr>
          <w:rFonts w:ascii="仿宋_GB2312" w:eastAsia="仿宋_GB2312" w:hAnsi="仿宋_GB2312" w:cs="仿宋_GB2312" w:hint="eastAsia"/>
          <w:color w:val="333333"/>
          <w:sz w:val="32"/>
          <w:szCs w:val="32"/>
        </w:rPr>
        <w:t>辆。</w:t>
      </w:r>
    </w:p>
    <w:p w:rsidR="00F17834">
      <w:pPr>
        <w:pStyle w:val="NormalWeb"/>
        <w:widowControl/>
        <w:shd w:val="clear" w:color="auto" w:fill="FFFFFF"/>
        <w:spacing w:beforeAutospacing="0" w:afterAutospacing="0" w:line="60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 </w:t>
      </w:r>
    </w:p>
    <w:p w:rsidR="00F17834">
      <w:pPr>
        <w:pStyle w:val="NormalWeb"/>
        <w:widowControl/>
        <w:shd w:val="clear" w:color="auto" w:fill="FFFFFF"/>
        <w:spacing w:beforeAutospacing="0" w:afterAutospacing="0" w:line="480" w:lineRule="atLeast"/>
        <w:jc w:val="center"/>
        <w:rPr>
          <w:rFonts w:ascii="仿宋_GB2312" w:eastAsia="仿宋_GB2312" w:hAnsi="仿宋_GB2312" w:cs="仿宋_GB2312"/>
          <w:color w:val="333333"/>
          <w:sz w:val="32"/>
          <w:szCs w:val="32"/>
          <w:shd w:val="clear" w:color="auto" w:fill="FFFFFF"/>
        </w:rPr>
      </w:pPr>
    </w:p>
    <w:p w:rsidR="00F17834">
      <w:pPr>
        <w:pStyle w:val="NormalWeb"/>
        <w:widowControl/>
        <w:shd w:val="clear" w:color="auto" w:fill="FFFFFF"/>
        <w:spacing w:beforeAutospacing="0" w:afterAutospacing="0" w:line="480" w:lineRule="atLeast"/>
        <w:jc w:val="center"/>
        <w:rPr>
          <w:rFonts w:ascii="仿宋_GB2312" w:eastAsia="仿宋_GB2312" w:hAnsi="仿宋_GB2312" w:cs="仿宋_GB2312"/>
          <w:color w:val="333333"/>
          <w:sz w:val="32"/>
          <w:szCs w:val="32"/>
          <w:shd w:val="clear" w:color="auto" w:fill="FFFFFF"/>
        </w:rPr>
      </w:pPr>
    </w:p>
    <w:p w:rsidR="00F17834">
      <w:pPr>
        <w:pStyle w:val="NormalWeb"/>
        <w:widowControl/>
        <w:shd w:val="clear" w:color="auto" w:fill="FFFFFF"/>
        <w:spacing w:beforeAutospacing="0" w:afterAutospacing="0" w:line="480" w:lineRule="atLeast"/>
        <w:jc w:val="center"/>
        <w:rPr>
          <w:rFonts w:ascii="黑体" w:eastAsia="黑体" w:hAnsi="黑体" w:cs="黑体"/>
          <w:color w:val="333333"/>
          <w:sz w:val="32"/>
          <w:szCs w:val="32"/>
        </w:rPr>
      </w:pPr>
      <w:r>
        <w:rPr>
          <w:rFonts w:ascii="黑体" w:eastAsia="黑体" w:hAnsi="黑体" w:cs="黑体" w:hint="eastAsia"/>
          <w:color w:val="333333"/>
          <w:sz w:val="32"/>
          <w:szCs w:val="32"/>
          <w:shd w:val="clear" w:color="auto" w:fill="FFFFFF"/>
        </w:rPr>
        <w:t>第二部分</w:t>
      </w:r>
      <w:r>
        <w:rPr>
          <w:rFonts w:ascii="黑体" w:eastAsia="黑体" w:hAnsi="黑体" w:cs="黑体" w:hint="eastAsia"/>
          <w:color w:val="333333"/>
          <w:sz w:val="32"/>
          <w:szCs w:val="32"/>
          <w:shd w:val="clear" w:color="auto" w:fill="FFFFFF"/>
        </w:rPr>
        <w:t> 2018</w:t>
      </w:r>
      <w:r>
        <w:rPr>
          <w:rFonts w:ascii="黑体" w:eastAsia="黑体" w:hAnsi="黑体" w:cs="黑体" w:hint="eastAsia"/>
          <w:color w:val="333333"/>
          <w:sz w:val="32"/>
          <w:szCs w:val="32"/>
          <w:shd w:val="clear" w:color="auto" w:fill="FFFFFF"/>
        </w:rPr>
        <w:t>年度部门决算表</w:t>
      </w:r>
    </w:p>
    <w:p w:rsidR="00F17834">
      <w:pPr>
        <w:pStyle w:val="NormalWeb"/>
        <w:widowControl/>
        <w:shd w:val="clear" w:color="auto" w:fill="FFFFFF"/>
        <w:spacing w:beforeAutospacing="0" w:afterAutospacing="0" w:line="600" w:lineRule="atLeast"/>
        <w:jc w:val="both"/>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详见附件：迪庆州国土资源局</w:t>
      </w: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年部门决算信息公开表（</w:t>
      </w:r>
      <w:r>
        <w:rPr>
          <w:rFonts w:ascii="仿宋_GB2312" w:eastAsia="仿宋_GB2312" w:hAnsi="仿宋_GB2312" w:cs="仿宋_GB2312" w:hint="eastAsia"/>
          <w:color w:val="333333"/>
          <w:sz w:val="32"/>
          <w:szCs w:val="32"/>
          <w:shd w:val="clear" w:color="auto" w:fill="FFFFFF"/>
        </w:rPr>
        <w:t>1-</w:t>
      </w:r>
      <w:r>
        <w:rPr>
          <w:rFonts w:ascii="仿宋_GB2312" w:eastAsia="仿宋_GB2312" w:hAnsi="仿宋_GB2312" w:cs="仿宋_GB2312" w:hint="eastAsia"/>
          <w:color w:val="333333"/>
          <w:sz w:val="32"/>
          <w:szCs w:val="32"/>
          <w:shd w:val="clear" w:color="auto" w:fill="FFFFFF"/>
        </w:rPr>
        <w:t>9</w:t>
      </w:r>
      <w:r>
        <w:rPr>
          <w:rFonts w:ascii="仿宋_GB2312" w:eastAsia="仿宋_GB2312" w:hAnsi="仿宋_GB2312" w:cs="仿宋_GB2312" w:hint="eastAsia"/>
          <w:color w:val="333333"/>
          <w:sz w:val="32"/>
          <w:szCs w:val="32"/>
          <w:shd w:val="clear" w:color="auto" w:fill="FFFFFF"/>
        </w:rPr>
        <w:t>表）</w:t>
      </w:r>
    </w:p>
    <w:p w:rsidR="00F17834">
      <w:pPr>
        <w:pStyle w:val="NormalWeb"/>
        <w:widowControl/>
        <w:shd w:val="clear" w:color="auto" w:fill="FFFFFF"/>
        <w:spacing w:beforeAutospacing="0" w:afterAutospacing="0" w:line="600" w:lineRule="atLeast"/>
        <w:ind w:firstLine="600"/>
        <w:jc w:val="center"/>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 </w:t>
      </w:r>
    </w:p>
    <w:p w:rsidR="00F17834">
      <w:pPr>
        <w:pStyle w:val="NormalWeb"/>
        <w:widowControl/>
        <w:shd w:val="clear" w:color="auto" w:fill="FFFFFF"/>
        <w:spacing w:beforeAutospacing="0" w:afterAutospacing="0" w:line="480" w:lineRule="atLeast"/>
        <w:jc w:val="center"/>
        <w:rPr>
          <w:rFonts w:ascii="仿宋_GB2312" w:eastAsia="仿宋_GB2312" w:hAnsi="仿宋_GB2312" w:cs="仿宋_GB2312"/>
          <w:color w:val="333333"/>
          <w:sz w:val="32"/>
          <w:szCs w:val="32"/>
          <w:shd w:val="clear" w:color="auto" w:fill="FFFFFF"/>
        </w:rPr>
      </w:pPr>
    </w:p>
    <w:p w:rsidR="00F17834">
      <w:pPr>
        <w:pStyle w:val="NormalWeb"/>
        <w:widowControl/>
        <w:shd w:val="clear" w:color="auto" w:fill="FFFFFF"/>
        <w:spacing w:beforeAutospacing="0" w:afterAutospacing="0" w:line="480" w:lineRule="atLeast"/>
        <w:jc w:val="center"/>
        <w:rPr>
          <w:rFonts w:ascii="仿宋_GB2312" w:eastAsia="仿宋_GB2312" w:hAnsi="仿宋_GB2312" w:cs="仿宋_GB2312"/>
          <w:color w:val="333333"/>
          <w:sz w:val="32"/>
          <w:szCs w:val="32"/>
          <w:shd w:val="clear" w:color="auto" w:fill="FFFFFF"/>
        </w:rPr>
      </w:pPr>
    </w:p>
    <w:p w:rsidR="00F17834">
      <w:pPr>
        <w:pStyle w:val="NormalWeb"/>
        <w:widowControl/>
        <w:shd w:val="clear" w:color="auto" w:fill="FFFFFF"/>
        <w:spacing w:beforeAutospacing="0" w:afterAutospacing="0" w:line="480" w:lineRule="atLeast"/>
        <w:jc w:val="center"/>
        <w:rPr>
          <w:rFonts w:ascii="黑体" w:eastAsia="黑体" w:hAnsi="黑体" w:cs="黑体"/>
          <w:color w:val="333333"/>
          <w:sz w:val="32"/>
          <w:szCs w:val="32"/>
        </w:rPr>
      </w:pPr>
      <w:r>
        <w:rPr>
          <w:rFonts w:ascii="黑体" w:eastAsia="黑体" w:hAnsi="黑体" w:cs="黑体" w:hint="eastAsia"/>
          <w:color w:val="333333"/>
          <w:sz w:val="32"/>
          <w:szCs w:val="32"/>
          <w:shd w:val="clear" w:color="auto" w:fill="FFFFFF"/>
        </w:rPr>
        <w:t>第三部分</w:t>
      </w:r>
      <w:r>
        <w:rPr>
          <w:rFonts w:ascii="黑体" w:eastAsia="黑体" w:hAnsi="黑体" w:cs="黑体" w:hint="eastAsia"/>
          <w:color w:val="333333"/>
          <w:sz w:val="32"/>
          <w:szCs w:val="32"/>
          <w:shd w:val="clear" w:color="auto" w:fill="FFFFFF"/>
        </w:rPr>
        <w:t>  2018</w:t>
      </w:r>
      <w:r>
        <w:rPr>
          <w:rFonts w:ascii="黑体" w:eastAsia="黑体" w:hAnsi="黑体" w:cs="黑体" w:hint="eastAsia"/>
          <w:color w:val="333333"/>
          <w:sz w:val="32"/>
          <w:szCs w:val="32"/>
          <w:shd w:val="clear" w:color="auto" w:fill="FFFFFF"/>
        </w:rPr>
        <w:t>年度部门决算情况说明</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一、收入决算情况说明</w:t>
      </w:r>
    </w:p>
    <w:p w:rsidR="00F17834">
      <w:pPr>
        <w:pStyle w:val="NormalWeb"/>
        <w:widowControl/>
        <w:shd w:val="clear" w:color="auto" w:fill="FFFFFF"/>
        <w:spacing w:before="105" w:beforeAutospacing="0" w:after="105" w:afterAutospacing="0" w:line="600" w:lineRule="atLeast"/>
        <w:ind w:firstLine="6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迪庆州</w:t>
      </w:r>
      <w:r>
        <w:rPr>
          <w:rFonts w:ascii="仿宋_GB2312" w:eastAsia="仿宋_GB2312" w:hAnsi="仿宋_GB2312" w:cs="仿宋_GB2312" w:hint="eastAsia"/>
          <w:color w:val="333333"/>
          <w:sz w:val="32"/>
          <w:szCs w:val="32"/>
          <w:shd w:val="clear" w:color="auto" w:fill="FFFFFF"/>
        </w:rPr>
        <w:t>城乡规划管理局</w:t>
      </w: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年度收入合计</w:t>
      </w:r>
      <w:r>
        <w:rPr>
          <w:rFonts w:ascii="仿宋_GB2312" w:eastAsia="仿宋_GB2312" w:hAnsi="仿宋_GB2312" w:cs="仿宋_GB2312" w:hint="eastAsia"/>
          <w:color w:val="333333"/>
          <w:sz w:val="32"/>
          <w:szCs w:val="32"/>
          <w:shd w:val="clear" w:color="auto" w:fill="FFFFFF"/>
        </w:rPr>
        <w:t>2011</w:t>
      </w:r>
      <w:r>
        <w:rPr>
          <w:rFonts w:ascii="仿宋_GB2312" w:eastAsia="仿宋_GB2312" w:hAnsi="仿宋_GB2312" w:cs="仿宋_GB2312" w:hint="eastAsia"/>
          <w:color w:val="333333"/>
          <w:sz w:val="32"/>
          <w:szCs w:val="32"/>
          <w:shd w:val="clear" w:color="auto" w:fill="FFFFFF"/>
        </w:rPr>
        <w:t>万元。其中：财政拨款收入</w:t>
      </w:r>
      <w:r>
        <w:rPr>
          <w:rFonts w:ascii="仿宋_GB2312" w:eastAsia="仿宋_GB2312" w:hAnsi="仿宋_GB2312" w:cs="仿宋_GB2312" w:hint="eastAsia"/>
          <w:color w:val="333333"/>
          <w:sz w:val="32"/>
          <w:szCs w:val="32"/>
          <w:shd w:val="clear" w:color="auto" w:fill="FFFFFF"/>
        </w:rPr>
        <w:t>2010</w:t>
      </w:r>
      <w:r>
        <w:rPr>
          <w:rFonts w:ascii="仿宋_GB2312" w:eastAsia="仿宋_GB2312" w:hAnsi="仿宋_GB2312" w:cs="仿宋_GB2312" w:hint="eastAsia"/>
          <w:color w:val="333333"/>
          <w:sz w:val="32"/>
          <w:szCs w:val="32"/>
          <w:shd w:val="clear" w:color="auto" w:fill="FFFFFF"/>
        </w:rPr>
        <w:t>万元，占总收入的</w:t>
      </w:r>
      <w:r>
        <w:rPr>
          <w:rFonts w:ascii="仿宋_GB2312" w:eastAsia="仿宋_GB2312" w:hAnsi="仿宋_GB2312" w:cs="仿宋_GB2312" w:hint="eastAsia"/>
          <w:color w:val="333333"/>
          <w:sz w:val="32"/>
          <w:szCs w:val="32"/>
          <w:shd w:val="clear" w:color="auto" w:fill="FFFFFF"/>
        </w:rPr>
        <w:t>99.95</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上级补助收入</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万元，事业收入</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万元，经营收入</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万元，附属单位上缴收入</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万元，占总收入的</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其他收入</w:t>
      </w:r>
      <w:r>
        <w:rPr>
          <w:rFonts w:ascii="仿宋_GB2312" w:eastAsia="仿宋_GB2312" w:hAnsi="仿宋_GB2312" w:cs="仿宋_GB2312" w:hint="eastAsia"/>
          <w:color w:val="333333"/>
          <w:sz w:val="32"/>
          <w:szCs w:val="32"/>
          <w:shd w:val="clear" w:color="auto" w:fill="FFFFFF"/>
        </w:rPr>
        <w:t>1</w:t>
      </w:r>
      <w:r>
        <w:rPr>
          <w:rFonts w:ascii="仿宋_GB2312" w:eastAsia="仿宋_GB2312" w:hAnsi="仿宋_GB2312" w:cs="仿宋_GB2312" w:hint="eastAsia"/>
          <w:color w:val="333333"/>
          <w:sz w:val="32"/>
          <w:szCs w:val="32"/>
          <w:shd w:val="clear" w:color="auto" w:fill="FFFFFF"/>
        </w:rPr>
        <w:t>万元，占总收入的</w:t>
      </w:r>
      <w:r>
        <w:rPr>
          <w:rFonts w:ascii="仿宋_GB2312" w:eastAsia="仿宋_GB2312" w:hAnsi="仿宋_GB2312" w:cs="仿宋_GB2312" w:hint="eastAsia"/>
          <w:color w:val="333333"/>
          <w:sz w:val="32"/>
          <w:szCs w:val="32"/>
          <w:shd w:val="clear" w:color="auto" w:fill="FFFFFF"/>
        </w:rPr>
        <w:t>0.05</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。与上年对比总收入</w:t>
      </w:r>
      <w:r>
        <w:rPr>
          <w:rFonts w:ascii="仿宋_GB2312" w:eastAsia="仿宋_GB2312" w:hAnsi="仿宋_GB2312" w:cs="仿宋_GB2312" w:hint="eastAsia"/>
          <w:color w:val="333333"/>
          <w:sz w:val="32"/>
          <w:szCs w:val="32"/>
          <w:shd w:val="clear" w:color="auto" w:fill="FFFFFF"/>
        </w:rPr>
        <w:t>减少了</w:t>
      </w:r>
      <w:r>
        <w:rPr>
          <w:rFonts w:ascii="仿宋_GB2312" w:eastAsia="仿宋_GB2312" w:hAnsi="仿宋_GB2312" w:cs="仿宋_GB2312" w:hint="eastAsia"/>
          <w:color w:val="333333"/>
          <w:sz w:val="32"/>
          <w:szCs w:val="32"/>
          <w:shd w:val="clear" w:color="auto" w:fill="FFFFFF"/>
        </w:rPr>
        <w:t>3387</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减少</w:t>
      </w:r>
      <w:r>
        <w:rPr>
          <w:rFonts w:ascii="仿宋_GB2312" w:eastAsia="仿宋_GB2312" w:hAnsi="仿宋_GB2312" w:cs="仿宋_GB2312" w:hint="eastAsia"/>
          <w:color w:val="333333"/>
          <w:sz w:val="32"/>
          <w:szCs w:val="32"/>
          <w:shd w:val="clear" w:color="auto" w:fill="FFFFFF"/>
        </w:rPr>
        <w:t>了</w:t>
      </w:r>
      <w:r>
        <w:rPr>
          <w:rFonts w:ascii="仿宋_GB2312" w:eastAsia="仿宋_GB2312" w:hAnsi="仿宋_GB2312" w:cs="仿宋_GB2312" w:hint="eastAsia"/>
          <w:color w:val="333333"/>
          <w:sz w:val="32"/>
          <w:szCs w:val="32"/>
          <w:shd w:val="clear" w:color="auto" w:fill="FFFFFF"/>
        </w:rPr>
        <w:t>62</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r w:rsidR="00544E3F">
        <w:rPr>
          <w:rFonts w:ascii="仿宋_GB2312" w:eastAsia="仿宋_GB2312" w:hAnsi="仿宋_GB2312" w:cs="仿宋_GB2312" w:hint="eastAsia"/>
          <w:color w:val="333333"/>
          <w:sz w:val="32"/>
          <w:szCs w:val="32"/>
          <w:shd w:val="clear" w:color="auto" w:fill="FFFFFF"/>
        </w:rPr>
        <w:t>主要原因是上</w:t>
      </w:r>
      <w:r w:rsidR="004D24BF">
        <w:rPr>
          <w:rFonts w:ascii="仿宋_GB2312" w:eastAsia="仿宋_GB2312" w:hAnsi="仿宋_GB2312" w:cs="仿宋_GB2312" w:hint="eastAsia"/>
          <w:color w:val="333333"/>
          <w:sz w:val="32"/>
          <w:szCs w:val="32"/>
          <w:shd w:val="clear" w:color="auto" w:fill="FFFFFF"/>
        </w:rPr>
        <w:t>年收入中其他城乡社区公共设施支出3360万元，；小城镇基础设施建设1572万元</w:t>
      </w:r>
      <w:r w:rsidR="00544E3F">
        <w:rPr>
          <w:rFonts w:ascii="仿宋_GB2312" w:eastAsia="仿宋_GB2312" w:hAnsi="仿宋_GB2312" w:cs="仿宋_GB2312" w:hint="eastAsia"/>
          <w:color w:val="333333"/>
          <w:sz w:val="32"/>
          <w:szCs w:val="32"/>
          <w:shd w:val="clear" w:color="auto" w:fill="FFFFFF"/>
        </w:rPr>
        <w:t>。2017年此项目完工故2018年无此项目收入。</w:t>
      </w:r>
    </w:p>
    <w:p w:rsidR="00F17834">
      <w:pPr>
        <w:pStyle w:val="NormalWeb"/>
        <w:widowControl/>
        <w:shd w:val="clear" w:color="auto" w:fill="FFFFFF"/>
        <w:spacing w:before="105" w:beforeAutospacing="0" w:after="105" w:afterAutospacing="0" w:line="600" w:lineRule="atLeast"/>
        <w:ind w:firstLine="540"/>
        <w:rPr>
          <w:rFonts w:ascii="仿宋_GB2312" w:eastAsia="仿宋_GB2312" w:hAnsi="仿宋_GB2312" w:cs="仿宋_GB2312"/>
          <w:color w:val="333333"/>
          <w:sz w:val="32"/>
          <w:szCs w:val="32"/>
          <w:shd w:val="clear" w:color="auto" w:fill="FFFFFF"/>
        </w:rPr>
      </w:pPr>
    </w:p>
    <w:p w:rsidR="00F17834">
      <w:pPr>
        <w:pStyle w:val="NormalWeb"/>
        <w:widowControl/>
        <w:shd w:val="clear" w:color="auto" w:fill="FFFFFF"/>
        <w:spacing w:beforeAutospacing="0" w:afterAutospacing="0" w:line="480" w:lineRule="atLeast"/>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二、支出决算情况说明</w:t>
      </w:r>
    </w:p>
    <w:p w:rsidR="00544E3F" w:rsidP="00544E3F">
      <w:pPr>
        <w:pStyle w:val="NormalWeb"/>
        <w:widowControl/>
        <w:shd w:val="clear" w:color="auto" w:fill="FFFFFF"/>
        <w:spacing w:before="105" w:beforeAutospacing="0" w:after="105" w:afterAutospacing="0" w:line="600" w:lineRule="atLeast"/>
        <w:ind w:firstLine="6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迪庆州</w:t>
      </w:r>
      <w:r>
        <w:rPr>
          <w:rFonts w:ascii="仿宋_GB2312" w:eastAsia="仿宋_GB2312" w:hAnsi="仿宋_GB2312" w:cs="仿宋_GB2312" w:hint="eastAsia"/>
          <w:color w:val="333333"/>
          <w:sz w:val="32"/>
          <w:szCs w:val="32"/>
          <w:shd w:val="clear" w:color="auto" w:fill="FFFFFF"/>
        </w:rPr>
        <w:t>城乡规划管理局</w:t>
      </w: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年度支出合计</w:t>
      </w:r>
      <w:r>
        <w:rPr>
          <w:rFonts w:ascii="仿宋_GB2312" w:eastAsia="仿宋_GB2312" w:hAnsi="仿宋_GB2312" w:cs="仿宋_GB2312" w:hint="eastAsia"/>
          <w:color w:val="333333"/>
          <w:sz w:val="32"/>
          <w:szCs w:val="32"/>
          <w:shd w:val="clear" w:color="auto" w:fill="FFFFFF"/>
        </w:rPr>
        <w:t>2036</w:t>
      </w:r>
      <w:r>
        <w:rPr>
          <w:rFonts w:ascii="仿宋_GB2312" w:eastAsia="仿宋_GB2312" w:hAnsi="仿宋_GB2312" w:cs="仿宋_GB2312" w:hint="eastAsia"/>
          <w:color w:val="333333"/>
          <w:sz w:val="32"/>
          <w:szCs w:val="32"/>
          <w:shd w:val="clear" w:color="auto" w:fill="FFFFFF"/>
        </w:rPr>
        <w:t>万元。其中：</w:t>
      </w:r>
      <w:r>
        <w:rPr>
          <w:rFonts w:ascii="仿宋_GB2312" w:eastAsia="仿宋_GB2312" w:hAnsi="仿宋_GB2312" w:cs="仿宋_GB2312" w:hint="eastAsia"/>
          <w:color w:val="333333"/>
          <w:sz w:val="32"/>
          <w:szCs w:val="32"/>
          <w:shd w:val="clear" w:color="auto" w:fill="FFFFFF"/>
        </w:rPr>
        <w:t>基本</w:t>
      </w:r>
      <w:r>
        <w:rPr>
          <w:rFonts w:ascii="仿宋_GB2312" w:eastAsia="仿宋_GB2312" w:hAnsi="仿宋_GB2312" w:cs="仿宋_GB2312" w:hint="eastAsia"/>
          <w:color w:val="333333"/>
          <w:sz w:val="32"/>
          <w:szCs w:val="32"/>
          <w:shd w:val="clear" w:color="auto" w:fill="FFFFFF"/>
        </w:rPr>
        <w:t>支出</w:t>
      </w:r>
      <w:r>
        <w:rPr>
          <w:rFonts w:ascii="仿宋_GB2312" w:eastAsia="仿宋_GB2312" w:hAnsi="仿宋_GB2312" w:cs="仿宋_GB2312" w:hint="eastAsia"/>
          <w:color w:val="333333"/>
          <w:sz w:val="32"/>
          <w:szCs w:val="32"/>
          <w:shd w:val="clear" w:color="auto" w:fill="FFFFFF"/>
        </w:rPr>
        <w:t>420</w:t>
      </w:r>
      <w:r>
        <w:rPr>
          <w:rFonts w:ascii="仿宋_GB2312" w:eastAsia="仿宋_GB2312" w:hAnsi="仿宋_GB2312" w:cs="仿宋_GB2312" w:hint="eastAsia"/>
          <w:color w:val="333333"/>
          <w:sz w:val="32"/>
          <w:szCs w:val="32"/>
          <w:shd w:val="clear" w:color="auto" w:fill="FFFFFF"/>
        </w:rPr>
        <w:t>万元，占总支出的</w:t>
      </w:r>
      <w:r>
        <w:rPr>
          <w:rFonts w:ascii="仿宋_GB2312" w:eastAsia="仿宋_GB2312" w:hAnsi="仿宋_GB2312" w:cs="仿宋_GB2312" w:hint="eastAsia"/>
          <w:color w:val="333333"/>
          <w:sz w:val="32"/>
          <w:szCs w:val="32"/>
          <w:shd w:val="clear" w:color="auto" w:fill="FFFFFF"/>
        </w:rPr>
        <w:t>21</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项目</w:t>
      </w:r>
      <w:r>
        <w:rPr>
          <w:rFonts w:ascii="仿宋_GB2312" w:eastAsia="仿宋_GB2312" w:hAnsi="仿宋_GB2312" w:cs="仿宋_GB2312" w:hint="eastAsia"/>
          <w:color w:val="333333"/>
          <w:sz w:val="32"/>
          <w:szCs w:val="32"/>
          <w:shd w:val="clear" w:color="auto" w:fill="FFFFFF"/>
        </w:rPr>
        <w:t>支出</w:t>
      </w:r>
      <w:r>
        <w:rPr>
          <w:rFonts w:ascii="仿宋_GB2312" w:eastAsia="仿宋_GB2312" w:hAnsi="仿宋_GB2312" w:cs="仿宋_GB2312" w:hint="eastAsia"/>
          <w:color w:val="333333"/>
          <w:sz w:val="32"/>
          <w:szCs w:val="32"/>
          <w:shd w:val="clear" w:color="auto" w:fill="FFFFFF"/>
        </w:rPr>
        <w:t>1616</w:t>
      </w:r>
      <w:r>
        <w:rPr>
          <w:rFonts w:ascii="仿宋_GB2312" w:eastAsia="仿宋_GB2312" w:hAnsi="仿宋_GB2312" w:cs="仿宋_GB2312" w:hint="eastAsia"/>
          <w:color w:val="333333"/>
          <w:sz w:val="32"/>
          <w:szCs w:val="32"/>
          <w:shd w:val="clear" w:color="auto" w:fill="FFFFFF"/>
        </w:rPr>
        <w:t>万元，占总收入的</w:t>
      </w:r>
      <w:r>
        <w:rPr>
          <w:rFonts w:ascii="仿宋_GB2312" w:eastAsia="仿宋_GB2312" w:hAnsi="仿宋_GB2312" w:cs="仿宋_GB2312" w:hint="eastAsia"/>
          <w:color w:val="333333"/>
          <w:sz w:val="32"/>
          <w:szCs w:val="32"/>
          <w:shd w:val="clear" w:color="auto" w:fill="FFFFFF"/>
        </w:rPr>
        <w:t>79</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上缴上级</w:t>
      </w:r>
      <w:r>
        <w:rPr>
          <w:rFonts w:ascii="仿宋_GB2312" w:eastAsia="仿宋_GB2312" w:hAnsi="仿宋_GB2312" w:cs="仿宋_GB2312" w:hint="eastAsia"/>
          <w:color w:val="333333"/>
          <w:sz w:val="32"/>
          <w:szCs w:val="32"/>
          <w:shd w:val="clear" w:color="auto" w:fill="FFFFFF"/>
        </w:rPr>
        <w:t>支出</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经营</w:t>
      </w:r>
      <w:r>
        <w:rPr>
          <w:rFonts w:ascii="仿宋_GB2312" w:eastAsia="仿宋_GB2312" w:hAnsi="仿宋_GB2312" w:cs="仿宋_GB2312" w:hint="eastAsia"/>
          <w:color w:val="333333"/>
          <w:sz w:val="32"/>
          <w:szCs w:val="32"/>
          <w:shd w:val="clear" w:color="auto" w:fill="FFFFFF"/>
        </w:rPr>
        <w:t>支出</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对附属于单位补助支出</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占总支出的</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。与上年对比总支出</w:t>
      </w:r>
      <w:r>
        <w:rPr>
          <w:rFonts w:ascii="仿宋_GB2312" w:eastAsia="仿宋_GB2312" w:hAnsi="仿宋_GB2312" w:cs="仿宋_GB2312" w:hint="eastAsia"/>
          <w:color w:val="333333"/>
          <w:sz w:val="32"/>
          <w:szCs w:val="32"/>
          <w:shd w:val="clear" w:color="auto" w:fill="FFFFFF"/>
        </w:rPr>
        <w:t>减少了</w:t>
      </w:r>
      <w:r>
        <w:rPr>
          <w:rFonts w:ascii="仿宋_GB2312" w:eastAsia="仿宋_GB2312" w:hAnsi="仿宋_GB2312" w:cs="仿宋_GB2312" w:hint="eastAsia"/>
          <w:color w:val="333333"/>
          <w:sz w:val="32"/>
          <w:szCs w:val="32"/>
          <w:shd w:val="clear" w:color="auto" w:fill="FFFFFF"/>
        </w:rPr>
        <w:t>5894</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减少了</w:t>
      </w:r>
      <w:r>
        <w:rPr>
          <w:rFonts w:ascii="仿宋_GB2312" w:eastAsia="仿宋_GB2312" w:hAnsi="仿宋_GB2312" w:cs="仿宋_GB2312" w:hint="eastAsia"/>
          <w:color w:val="333333"/>
          <w:sz w:val="32"/>
          <w:szCs w:val="32"/>
          <w:shd w:val="clear" w:color="auto" w:fill="FFFFFF"/>
        </w:rPr>
        <w:t>74</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主要原因是上年支出中其他城乡社区公共设施支出4062万元，；小城镇基础设施建设3360万元。</w:t>
      </w:r>
    </w:p>
    <w:p w:rsidR="00F17834">
      <w:pPr>
        <w:pStyle w:val="NormalWeb"/>
        <w:widowControl/>
        <w:shd w:val="clear" w:color="auto" w:fill="FFFFFF"/>
        <w:spacing w:before="105" w:beforeAutospacing="0" w:after="105" w:afterAutospacing="0" w:line="600" w:lineRule="atLeast"/>
        <w:ind w:firstLine="540"/>
        <w:rPr>
          <w:rFonts w:ascii="仿宋_GB2312" w:eastAsia="仿宋_GB2312" w:hAnsi="仿宋_GB2312" w:cs="仿宋_GB2312"/>
          <w:color w:val="333333"/>
          <w:sz w:val="32"/>
          <w:szCs w:val="32"/>
        </w:rPr>
      </w:pPr>
    </w:p>
    <w:p w:rsidR="00F17834">
      <w:pPr>
        <w:pStyle w:val="NormalWeb"/>
        <w:widowControl/>
        <w:shd w:val="clear" w:color="auto" w:fill="FFFFFF"/>
        <w:spacing w:before="105" w:beforeAutospacing="0" w:after="105" w:afterAutospacing="0" w:line="600" w:lineRule="atLeast"/>
        <w:ind w:firstLine="3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（一）基本支出情况</w:t>
      </w:r>
    </w:p>
    <w:p w:rsidR="00F17834">
      <w:pPr>
        <w:pStyle w:val="NormalWeb"/>
        <w:widowControl/>
        <w:shd w:val="clear" w:color="auto" w:fill="FFFFFF"/>
        <w:spacing w:before="105" w:beforeAutospacing="0" w:after="105" w:afterAutospacing="0" w:line="600" w:lineRule="atLeast"/>
        <w:ind w:firstLine="6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年度用于保障迪庆州</w:t>
      </w:r>
      <w:r>
        <w:rPr>
          <w:rFonts w:ascii="仿宋_GB2312" w:eastAsia="仿宋_GB2312" w:hAnsi="仿宋_GB2312" w:cs="仿宋_GB2312" w:hint="eastAsia"/>
          <w:color w:val="333333"/>
          <w:sz w:val="32"/>
          <w:szCs w:val="32"/>
          <w:shd w:val="clear" w:color="auto" w:fill="FFFFFF"/>
        </w:rPr>
        <w:t>城乡规划管理局</w:t>
      </w:r>
      <w:r>
        <w:rPr>
          <w:rFonts w:ascii="仿宋_GB2312" w:eastAsia="仿宋_GB2312" w:hAnsi="仿宋_GB2312" w:cs="仿宋_GB2312" w:hint="eastAsia"/>
          <w:color w:val="333333"/>
          <w:sz w:val="32"/>
          <w:szCs w:val="32"/>
          <w:shd w:val="clear" w:color="auto" w:fill="FFFFFF"/>
        </w:rPr>
        <w:t>机关正常运转的日常支出</w:t>
      </w:r>
      <w:r>
        <w:rPr>
          <w:rFonts w:ascii="仿宋_GB2312" w:eastAsia="仿宋_GB2312" w:hAnsi="仿宋_GB2312" w:cs="仿宋_GB2312" w:hint="eastAsia"/>
          <w:color w:val="333333"/>
          <w:sz w:val="32"/>
          <w:szCs w:val="32"/>
          <w:shd w:val="clear" w:color="auto" w:fill="FFFFFF"/>
        </w:rPr>
        <w:t>420</w:t>
      </w:r>
      <w:r>
        <w:rPr>
          <w:rFonts w:ascii="仿宋_GB2312" w:eastAsia="仿宋_GB2312" w:hAnsi="仿宋_GB2312" w:cs="仿宋_GB2312" w:hint="eastAsia"/>
          <w:color w:val="333333"/>
          <w:sz w:val="32"/>
          <w:szCs w:val="32"/>
          <w:shd w:val="clear" w:color="auto" w:fill="FFFFFF"/>
        </w:rPr>
        <w:t>万元，占总支出的</w:t>
      </w:r>
      <w:r>
        <w:rPr>
          <w:rFonts w:ascii="仿宋_GB2312" w:eastAsia="仿宋_GB2312" w:hAnsi="仿宋_GB2312" w:cs="仿宋_GB2312" w:hint="eastAsia"/>
          <w:color w:val="333333"/>
          <w:sz w:val="32"/>
          <w:szCs w:val="32"/>
          <w:shd w:val="clear" w:color="auto" w:fill="FFFFFF"/>
        </w:rPr>
        <w:t>21</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。与上年对比增加</w:t>
      </w:r>
      <w:r>
        <w:rPr>
          <w:rFonts w:ascii="仿宋_GB2312" w:eastAsia="仿宋_GB2312" w:hAnsi="仿宋_GB2312" w:cs="仿宋_GB2312" w:hint="eastAsia"/>
          <w:color w:val="333333"/>
          <w:sz w:val="32"/>
          <w:szCs w:val="32"/>
          <w:shd w:val="clear" w:color="auto" w:fill="FFFFFF"/>
        </w:rPr>
        <w:t>60</w:t>
      </w:r>
      <w:r>
        <w:rPr>
          <w:rFonts w:ascii="仿宋_GB2312" w:eastAsia="仿宋_GB2312" w:hAnsi="仿宋_GB2312" w:cs="仿宋_GB2312" w:hint="eastAsia"/>
          <w:color w:val="333333"/>
          <w:sz w:val="32"/>
          <w:szCs w:val="32"/>
          <w:shd w:val="clear" w:color="auto" w:fill="FFFFFF"/>
        </w:rPr>
        <w:t>万元，增长</w:t>
      </w:r>
      <w:r>
        <w:rPr>
          <w:rFonts w:ascii="仿宋_GB2312" w:eastAsia="仿宋_GB2312" w:hAnsi="仿宋_GB2312" w:cs="仿宋_GB2312" w:hint="eastAsia"/>
          <w:color w:val="333333"/>
          <w:sz w:val="32"/>
          <w:szCs w:val="32"/>
          <w:shd w:val="clear" w:color="auto" w:fill="FFFFFF"/>
        </w:rPr>
        <w:t>17</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主要原因分析新调入人员、工资增加，五险</w:t>
      </w:r>
      <w:r>
        <w:rPr>
          <w:rFonts w:ascii="仿宋_GB2312" w:eastAsia="仿宋_GB2312" w:hAnsi="仿宋_GB2312" w:cs="仿宋_GB2312" w:hint="eastAsia"/>
          <w:color w:val="333333"/>
          <w:sz w:val="32"/>
          <w:szCs w:val="32"/>
          <w:shd w:val="clear" w:color="auto" w:fill="FFFFFF"/>
        </w:rPr>
        <w:t>一</w:t>
      </w:r>
      <w:r>
        <w:rPr>
          <w:rFonts w:ascii="仿宋_GB2312" w:eastAsia="仿宋_GB2312" w:hAnsi="仿宋_GB2312" w:cs="仿宋_GB2312" w:hint="eastAsia"/>
          <w:color w:val="333333"/>
          <w:sz w:val="32"/>
          <w:szCs w:val="32"/>
          <w:shd w:val="clear" w:color="auto" w:fill="FFFFFF"/>
        </w:rPr>
        <w:t>金缴费相应增加。</w:t>
      </w:r>
    </w:p>
    <w:p w:rsidR="00F17834">
      <w:pPr>
        <w:pStyle w:val="NormalWeb"/>
        <w:widowControl/>
        <w:shd w:val="clear" w:color="auto" w:fill="FFFFFF"/>
        <w:spacing w:beforeAutospacing="0" w:afterAutospacing="0" w:line="480" w:lineRule="atLeast"/>
        <w:ind w:firstLine="48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(1)</w:t>
      </w:r>
      <w:r>
        <w:rPr>
          <w:rFonts w:ascii="仿宋_GB2312" w:eastAsia="仿宋_GB2312" w:hAnsi="仿宋_GB2312" w:cs="仿宋_GB2312" w:hint="eastAsia"/>
          <w:color w:val="333333"/>
          <w:sz w:val="32"/>
          <w:szCs w:val="32"/>
          <w:shd w:val="clear" w:color="auto" w:fill="FFFFFF"/>
        </w:rPr>
        <w:t>人员经费支出（包括基本工资</w:t>
      </w:r>
      <w:r>
        <w:rPr>
          <w:rFonts w:ascii="仿宋_GB2312" w:eastAsia="仿宋_GB2312" w:hAnsi="仿宋_GB2312" w:cs="仿宋_GB2312" w:hint="eastAsia"/>
          <w:color w:val="333333"/>
          <w:sz w:val="32"/>
          <w:szCs w:val="32"/>
          <w:shd w:val="clear" w:color="auto" w:fill="FFFFFF"/>
        </w:rPr>
        <w:t>66</w:t>
      </w:r>
      <w:r>
        <w:rPr>
          <w:rFonts w:ascii="仿宋_GB2312" w:eastAsia="仿宋_GB2312" w:hAnsi="仿宋_GB2312" w:cs="仿宋_GB2312" w:hint="eastAsia"/>
          <w:color w:val="333333"/>
          <w:sz w:val="32"/>
          <w:szCs w:val="32"/>
          <w:shd w:val="clear" w:color="auto" w:fill="FFFFFF"/>
        </w:rPr>
        <w:t>万元、津贴补贴</w:t>
      </w:r>
      <w:r>
        <w:rPr>
          <w:rFonts w:ascii="仿宋_GB2312" w:eastAsia="仿宋_GB2312" w:hAnsi="仿宋_GB2312" w:cs="仿宋_GB2312" w:hint="eastAsia"/>
          <w:color w:val="333333"/>
          <w:sz w:val="32"/>
          <w:szCs w:val="32"/>
          <w:shd w:val="clear" w:color="auto" w:fill="FFFFFF"/>
        </w:rPr>
        <w:t>203</w:t>
      </w:r>
      <w:r>
        <w:rPr>
          <w:rFonts w:ascii="仿宋_GB2312" w:eastAsia="仿宋_GB2312" w:hAnsi="仿宋_GB2312" w:cs="仿宋_GB2312" w:hint="eastAsia"/>
          <w:color w:val="333333"/>
          <w:sz w:val="32"/>
          <w:szCs w:val="32"/>
          <w:shd w:val="clear" w:color="auto" w:fill="FFFFFF"/>
        </w:rPr>
        <w:t>万元、奖金</w:t>
      </w:r>
      <w:r>
        <w:rPr>
          <w:rFonts w:ascii="仿宋_GB2312" w:eastAsia="仿宋_GB2312" w:hAnsi="仿宋_GB2312" w:cs="仿宋_GB2312" w:hint="eastAsia"/>
          <w:color w:val="333333"/>
          <w:sz w:val="32"/>
          <w:szCs w:val="32"/>
          <w:shd w:val="clear" w:color="auto" w:fill="FFFFFF"/>
        </w:rPr>
        <w:t>23</w:t>
      </w:r>
      <w:r>
        <w:rPr>
          <w:rFonts w:ascii="仿宋_GB2312" w:eastAsia="仿宋_GB2312" w:hAnsi="仿宋_GB2312" w:cs="仿宋_GB2312" w:hint="eastAsia"/>
          <w:color w:val="333333"/>
          <w:sz w:val="32"/>
          <w:szCs w:val="32"/>
          <w:shd w:val="clear" w:color="auto" w:fill="FFFFFF"/>
        </w:rPr>
        <w:t>万元、绩效</w:t>
      </w:r>
      <w:r>
        <w:rPr>
          <w:rFonts w:ascii="仿宋_GB2312" w:eastAsia="仿宋_GB2312" w:hAnsi="仿宋_GB2312" w:cs="仿宋_GB2312" w:hint="eastAsia"/>
          <w:color w:val="333333"/>
          <w:sz w:val="32"/>
          <w:szCs w:val="32"/>
          <w:shd w:val="clear" w:color="auto" w:fill="FFFFFF"/>
        </w:rPr>
        <w:t>18</w:t>
      </w:r>
      <w:r>
        <w:rPr>
          <w:rFonts w:ascii="仿宋_GB2312" w:eastAsia="仿宋_GB2312" w:hAnsi="仿宋_GB2312" w:cs="仿宋_GB2312" w:hint="eastAsia"/>
          <w:color w:val="333333"/>
          <w:sz w:val="32"/>
          <w:szCs w:val="32"/>
          <w:shd w:val="clear" w:color="auto" w:fill="FFFFFF"/>
        </w:rPr>
        <w:t>万元、养老保险</w:t>
      </w:r>
      <w:r>
        <w:rPr>
          <w:rFonts w:ascii="仿宋_GB2312" w:eastAsia="仿宋_GB2312" w:hAnsi="仿宋_GB2312" w:cs="仿宋_GB2312" w:hint="eastAsia"/>
          <w:color w:val="333333"/>
          <w:sz w:val="32"/>
          <w:szCs w:val="32"/>
          <w:shd w:val="clear" w:color="auto" w:fill="FFFFFF"/>
        </w:rPr>
        <w:t>38</w:t>
      </w:r>
      <w:r>
        <w:rPr>
          <w:rFonts w:ascii="仿宋_GB2312" w:eastAsia="仿宋_GB2312" w:hAnsi="仿宋_GB2312" w:cs="仿宋_GB2312" w:hint="eastAsia"/>
          <w:color w:val="333333"/>
          <w:sz w:val="32"/>
          <w:szCs w:val="32"/>
          <w:shd w:val="clear" w:color="auto" w:fill="FFFFFF"/>
        </w:rPr>
        <w:t>万元、职业年金</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万元、职工医疗保险</w:t>
      </w:r>
      <w:r>
        <w:rPr>
          <w:rFonts w:ascii="仿宋_GB2312" w:eastAsia="仿宋_GB2312" w:hAnsi="仿宋_GB2312" w:cs="仿宋_GB2312" w:hint="eastAsia"/>
          <w:color w:val="333333"/>
          <w:sz w:val="32"/>
          <w:szCs w:val="32"/>
          <w:shd w:val="clear" w:color="auto" w:fill="FFFFFF"/>
        </w:rPr>
        <w:t>15</w:t>
      </w:r>
      <w:r>
        <w:rPr>
          <w:rFonts w:ascii="仿宋_GB2312" w:eastAsia="仿宋_GB2312" w:hAnsi="仿宋_GB2312" w:cs="仿宋_GB2312" w:hint="eastAsia"/>
          <w:color w:val="333333"/>
          <w:sz w:val="32"/>
          <w:szCs w:val="32"/>
          <w:shd w:val="clear" w:color="auto" w:fill="FFFFFF"/>
        </w:rPr>
        <w:t>万元、公务员医疗补助</w:t>
      </w:r>
      <w:r>
        <w:rPr>
          <w:rFonts w:ascii="仿宋_GB2312" w:eastAsia="仿宋_GB2312" w:hAnsi="仿宋_GB2312" w:cs="仿宋_GB2312" w:hint="eastAsia"/>
          <w:color w:val="333333"/>
          <w:sz w:val="32"/>
          <w:szCs w:val="32"/>
          <w:shd w:val="clear" w:color="auto" w:fill="FFFFFF"/>
        </w:rPr>
        <w:t>8</w:t>
      </w:r>
      <w:r>
        <w:rPr>
          <w:rFonts w:ascii="仿宋_GB2312" w:eastAsia="仿宋_GB2312" w:hAnsi="仿宋_GB2312" w:cs="仿宋_GB2312" w:hint="eastAsia"/>
          <w:color w:val="333333"/>
          <w:sz w:val="32"/>
          <w:szCs w:val="32"/>
          <w:shd w:val="clear" w:color="auto" w:fill="FFFFFF"/>
        </w:rPr>
        <w:t>万元、其他社会保障缴费</w:t>
      </w: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万元、住房公积金</w:t>
      </w:r>
      <w:r>
        <w:rPr>
          <w:rFonts w:ascii="仿宋_GB2312" w:eastAsia="仿宋_GB2312" w:hAnsi="仿宋_GB2312" w:cs="仿宋_GB2312" w:hint="eastAsia"/>
          <w:color w:val="333333"/>
          <w:sz w:val="32"/>
          <w:szCs w:val="32"/>
          <w:shd w:val="clear" w:color="auto" w:fill="FFFFFF"/>
        </w:rPr>
        <w:t>24</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000000"/>
          <w:sz w:val="32"/>
          <w:szCs w:val="32"/>
          <w:shd w:val="clear" w:color="auto" w:fill="FFFFFF"/>
        </w:rPr>
        <w:t>397</w:t>
      </w:r>
      <w:r>
        <w:rPr>
          <w:rFonts w:ascii="仿宋_GB2312" w:eastAsia="仿宋_GB2312" w:hAnsi="仿宋_GB2312" w:cs="仿宋_GB2312" w:hint="eastAsia"/>
          <w:color w:val="000000"/>
          <w:sz w:val="32"/>
          <w:szCs w:val="32"/>
          <w:shd w:val="clear" w:color="auto" w:fill="FFFFFF"/>
        </w:rPr>
        <w:t>万</w:t>
      </w:r>
      <w:r>
        <w:rPr>
          <w:rFonts w:ascii="仿宋_GB2312" w:eastAsia="仿宋_GB2312" w:hAnsi="仿宋_GB2312" w:cs="仿宋_GB2312" w:hint="eastAsia"/>
          <w:color w:val="333333"/>
          <w:sz w:val="32"/>
          <w:szCs w:val="32"/>
          <w:shd w:val="clear" w:color="auto" w:fill="FFFFFF"/>
        </w:rPr>
        <w:t>元、</w:t>
      </w:r>
      <w:r>
        <w:rPr>
          <w:rFonts w:ascii="仿宋_GB2312" w:eastAsia="仿宋_GB2312" w:hAnsi="仿宋_GB2312" w:cs="仿宋_GB2312" w:hint="eastAsia"/>
          <w:color w:val="333333"/>
          <w:sz w:val="32"/>
          <w:szCs w:val="32"/>
          <w:shd w:val="clear" w:color="auto" w:fill="FFFFFF"/>
        </w:rPr>
        <w:t>占基本</w:t>
      </w:r>
      <w:r>
        <w:rPr>
          <w:rFonts w:ascii="仿宋_GB2312" w:eastAsia="仿宋_GB2312" w:hAnsi="仿宋_GB2312" w:cs="仿宋_GB2312" w:hint="eastAsia"/>
          <w:color w:val="333333"/>
          <w:sz w:val="32"/>
          <w:szCs w:val="32"/>
          <w:shd w:val="clear" w:color="auto" w:fill="FFFFFF"/>
        </w:rPr>
        <w:t>支出的</w:t>
      </w:r>
      <w:r>
        <w:rPr>
          <w:rFonts w:ascii="仿宋_GB2312" w:eastAsia="仿宋_GB2312" w:hAnsi="仿宋_GB2312" w:cs="仿宋_GB2312" w:hint="eastAsia"/>
          <w:color w:val="333333"/>
          <w:sz w:val="32"/>
          <w:szCs w:val="32"/>
          <w:shd w:val="clear" w:color="auto" w:fill="FFFFFF"/>
        </w:rPr>
        <w:t>95%</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Autospacing="0" w:afterAutospacing="0" w:line="480" w:lineRule="atLeast"/>
        <w:ind w:firstLine="320" w:firstLineChars="1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日常公用经费（办公费</w:t>
      </w:r>
      <w:r>
        <w:rPr>
          <w:rFonts w:ascii="仿宋_GB2312" w:eastAsia="仿宋_GB2312" w:hAnsi="仿宋_GB2312" w:cs="仿宋_GB2312" w:hint="eastAsia"/>
          <w:color w:val="333333"/>
          <w:sz w:val="32"/>
          <w:szCs w:val="32"/>
          <w:shd w:val="clear" w:color="auto" w:fill="FFFFFF"/>
        </w:rPr>
        <w:t>1</w:t>
      </w:r>
      <w:r>
        <w:rPr>
          <w:rFonts w:ascii="仿宋_GB2312" w:eastAsia="仿宋_GB2312" w:hAnsi="仿宋_GB2312" w:cs="仿宋_GB2312" w:hint="eastAsia"/>
          <w:color w:val="333333"/>
          <w:sz w:val="32"/>
          <w:szCs w:val="32"/>
          <w:shd w:val="clear" w:color="auto" w:fill="FFFFFF"/>
        </w:rPr>
        <w:t>万元、水费</w:t>
      </w:r>
      <w:r>
        <w:rPr>
          <w:rFonts w:ascii="仿宋_GB2312" w:eastAsia="仿宋_GB2312" w:hAnsi="仿宋_GB2312" w:cs="仿宋_GB2312" w:hint="eastAsia"/>
          <w:color w:val="333333"/>
          <w:sz w:val="32"/>
          <w:szCs w:val="32"/>
          <w:shd w:val="clear" w:color="auto" w:fill="FFFFFF"/>
        </w:rPr>
        <w:t>0.2</w:t>
      </w:r>
      <w:r>
        <w:rPr>
          <w:rFonts w:ascii="仿宋_GB2312" w:eastAsia="仿宋_GB2312" w:hAnsi="仿宋_GB2312" w:cs="仿宋_GB2312" w:hint="eastAsia"/>
          <w:color w:val="333333"/>
          <w:sz w:val="32"/>
          <w:szCs w:val="32"/>
          <w:shd w:val="clear" w:color="auto" w:fill="FFFFFF"/>
        </w:rPr>
        <w:t>万元、电费</w:t>
      </w:r>
      <w:r>
        <w:rPr>
          <w:rFonts w:ascii="仿宋_GB2312" w:eastAsia="仿宋_GB2312" w:hAnsi="仿宋_GB2312" w:cs="仿宋_GB2312" w:hint="eastAsia"/>
          <w:color w:val="333333"/>
          <w:sz w:val="32"/>
          <w:szCs w:val="32"/>
          <w:shd w:val="clear" w:color="auto" w:fill="FFFFFF"/>
        </w:rPr>
        <w:t>7</w:t>
      </w:r>
      <w:r>
        <w:rPr>
          <w:rFonts w:ascii="仿宋_GB2312" w:eastAsia="仿宋_GB2312" w:hAnsi="仿宋_GB2312" w:cs="仿宋_GB2312" w:hint="eastAsia"/>
          <w:color w:val="333333"/>
          <w:sz w:val="32"/>
          <w:szCs w:val="32"/>
          <w:shd w:val="clear" w:color="auto" w:fill="FFFFFF"/>
        </w:rPr>
        <w:t>万元、、差旅费</w:t>
      </w:r>
      <w:r>
        <w:rPr>
          <w:rFonts w:ascii="仿宋_GB2312" w:eastAsia="仿宋_GB2312" w:hAnsi="仿宋_GB2312" w:cs="仿宋_GB2312" w:hint="eastAsia"/>
          <w:color w:val="333333"/>
          <w:sz w:val="32"/>
          <w:szCs w:val="32"/>
          <w:shd w:val="clear" w:color="auto" w:fill="FFFFFF"/>
        </w:rPr>
        <w:t>2.5</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劳务费</w:t>
      </w: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万元、委托业务费</w:t>
      </w: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万元、工会经费</w:t>
      </w:r>
      <w:r>
        <w:rPr>
          <w:rFonts w:ascii="仿宋_GB2312" w:eastAsia="仿宋_GB2312" w:hAnsi="仿宋_GB2312" w:cs="仿宋_GB2312" w:hint="eastAsia"/>
          <w:color w:val="333333"/>
          <w:sz w:val="32"/>
          <w:szCs w:val="32"/>
          <w:shd w:val="clear" w:color="auto" w:fill="FFFFFF"/>
        </w:rPr>
        <w:t>5</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公务用车运行维护费</w:t>
      </w:r>
      <w:r>
        <w:rPr>
          <w:rFonts w:ascii="仿宋_GB2312" w:eastAsia="仿宋_GB2312" w:hAnsi="仿宋_GB2312" w:cs="仿宋_GB2312" w:hint="eastAsia"/>
          <w:color w:val="333333"/>
          <w:sz w:val="32"/>
          <w:szCs w:val="32"/>
          <w:shd w:val="clear" w:color="auto" w:fill="FFFFFF"/>
        </w:rPr>
        <w:t>0.5</w:t>
      </w:r>
      <w:r>
        <w:rPr>
          <w:rFonts w:ascii="仿宋_GB2312" w:eastAsia="仿宋_GB2312" w:hAnsi="仿宋_GB2312" w:cs="仿宋_GB2312" w:hint="eastAsia"/>
          <w:color w:val="333333"/>
          <w:sz w:val="32"/>
          <w:szCs w:val="32"/>
          <w:shd w:val="clear" w:color="auto" w:fill="FFFFFF"/>
        </w:rPr>
        <w:t>万元、其他商品和服务支出</w:t>
      </w:r>
      <w:r>
        <w:rPr>
          <w:rFonts w:ascii="仿宋_GB2312" w:eastAsia="仿宋_GB2312" w:hAnsi="仿宋_GB2312" w:cs="仿宋_GB2312" w:hint="eastAsia"/>
          <w:color w:val="333333"/>
          <w:sz w:val="32"/>
          <w:szCs w:val="32"/>
          <w:shd w:val="clear" w:color="auto" w:fill="FFFFFF"/>
        </w:rPr>
        <w:t>2.8</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23</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占基本</w:t>
      </w:r>
      <w:r>
        <w:rPr>
          <w:rFonts w:ascii="仿宋_GB2312" w:eastAsia="仿宋_GB2312" w:hAnsi="仿宋_GB2312" w:cs="仿宋_GB2312" w:hint="eastAsia"/>
          <w:color w:val="333333"/>
          <w:sz w:val="32"/>
          <w:szCs w:val="32"/>
          <w:shd w:val="clear" w:color="auto" w:fill="FFFFFF"/>
        </w:rPr>
        <w:t>支出的</w:t>
      </w:r>
      <w:r>
        <w:rPr>
          <w:rFonts w:ascii="仿宋_GB2312" w:eastAsia="仿宋_GB2312" w:hAnsi="仿宋_GB2312" w:cs="仿宋_GB2312" w:hint="eastAsia"/>
          <w:color w:val="333333"/>
          <w:sz w:val="32"/>
          <w:szCs w:val="32"/>
          <w:shd w:val="clear" w:color="auto" w:fill="FFFFFF"/>
        </w:rPr>
        <w:t>5</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105" w:beforeAutospacing="0" w:after="105" w:afterAutospacing="0" w:line="600" w:lineRule="atLeast"/>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（二）项目支出情况</w:t>
      </w:r>
    </w:p>
    <w:p w:rsidR="00F17834">
      <w:pPr>
        <w:pStyle w:val="NormalWeb"/>
        <w:widowControl/>
        <w:shd w:val="clear" w:color="auto" w:fill="FFFFFF"/>
        <w:spacing w:beforeAutospacing="0" w:afterAutospacing="0" w:line="480" w:lineRule="atLeast"/>
        <w:ind w:firstLine="64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年度用于保障我局的行政工作任务或事业发展目标，用于专项业务工作的经费支出</w:t>
      </w:r>
      <w:r>
        <w:rPr>
          <w:rFonts w:ascii="仿宋_GB2312" w:eastAsia="仿宋_GB2312" w:hAnsi="仿宋_GB2312" w:cs="仿宋_GB2312" w:hint="eastAsia"/>
          <w:color w:val="333333"/>
          <w:sz w:val="32"/>
          <w:szCs w:val="32"/>
          <w:shd w:val="clear" w:color="auto" w:fill="FFFFFF"/>
        </w:rPr>
        <w:t>1616</w:t>
      </w:r>
      <w:r>
        <w:rPr>
          <w:rFonts w:ascii="仿宋_GB2312" w:eastAsia="仿宋_GB2312" w:hAnsi="仿宋_GB2312" w:cs="仿宋_GB2312" w:hint="eastAsia"/>
          <w:color w:val="333333"/>
          <w:sz w:val="32"/>
          <w:szCs w:val="32"/>
          <w:shd w:val="clear" w:color="auto" w:fill="FFFFFF"/>
        </w:rPr>
        <w:t>万元，项目支出占全年支出的</w:t>
      </w:r>
      <w:r>
        <w:rPr>
          <w:rFonts w:ascii="仿宋_GB2312" w:eastAsia="仿宋_GB2312" w:hAnsi="仿宋_GB2312" w:cs="仿宋_GB2312" w:hint="eastAsia"/>
          <w:color w:val="333333"/>
          <w:sz w:val="32"/>
          <w:szCs w:val="32"/>
          <w:shd w:val="clear" w:color="auto" w:fill="FFFFFF"/>
        </w:rPr>
        <w:t>79</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。与上年对比项目支出比上年下降</w:t>
      </w:r>
      <w:r>
        <w:rPr>
          <w:rFonts w:ascii="仿宋_GB2312" w:eastAsia="仿宋_GB2312" w:hAnsi="仿宋_GB2312" w:cs="仿宋_GB2312" w:hint="eastAsia"/>
          <w:color w:val="333333"/>
          <w:sz w:val="32"/>
          <w:szCs w:val="32"/>
          <w:shd w:val="clear" w:color="auto" w:fill="FFFFFF"/>
        </w:rPr>
        <w:t>5949</w:t>
      </w:r>
      <w:r>
        <w:rPr>
          <w:rFonts w:ascii="仿宋_GB2312" w:eastAsia="仿宋_GB2312" w:hAnsi="仿宋_GB2312" w:cs="仿宋_GB2312" w:hint="eastAsia"/>
          <w:color w:val="333333"/>
          <w:sz w:val="32"/>
          <w:szCs w:val="32"/>
          <w:shd w:val="clear" w:color="auto" w:fill="FFFFFF"/>
        </w:rPr>
        <w:t>万元，下降了</w:t>
      </w:r>
      <w:r>
        <w:rPr>
          <w:rFonts w:ascii="仿宋_GB2312" w:eastAsia="仿宋_GB2312" w:hAnsi="仿宋_GB2312" w:cs="仿宋_GB2312" w:hint="eastAsia"/>
          <w:color w:val="333333"/>
          <w:sz w:val="32"/>
          <w:szCs w:val="32"/>
          <w:shd w:val="clear" w:color="auto" w:fill="FFFFFF"/>
        </w:rPr>
        <w:t>79</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，具体支出如下：</w:t>
      </w:r>
    </w:p>
    <w:p w:rsidR="00F17834">
      <w:pPr>
        <w:pStyle w:val="NormalWeb"/>
        <w:widowControl/>
        <w:shd w:val="clear" w:color="auto" w:fill="FFFFFF"/>
        <w:spacing w:beforeAutospacing="0" w:afterAutospacing="0" w:line="480" w:lineRule="atLeast"/>
        <w:ind w:firstLine="315"/>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 xml:space="preserve">(1) </w:t>
      </w:r>
      <w:r>
        <w:rPr>
          <w:rFonts w:ascii="仿宋_GB2312" w:eastAsia="仿宋_GB2312" w:hAnsi="仿宋_GB2312" w:cs="仿宋_GB2312" w:hint="eastAsia"/>
          <w:color w:val="333333"/>
          <w:sz w:val="32"/>
          <w:szCs w:val="32"/>
          <w:shd w:val="clear" w:color="auto" w:fill="FFFFFF"/>
        </w:rPr>
        <w:t>办公费支出</w:t>
      </w:r>
      <w:r>
        <w:rPr>
          <w:rFonts w:ascii="仿宋_GB2312" w:eastAsia="仿宋_GB2312" w:hAnsi="仿宋_GB2312" w:cs="仿宋_GB2312" w:hint="eastAsia"/>
          <w:color w:val="333333"/>
          <w:sz w:val="32"/>
          <w:szCs w:val="32"/>
          <w:shd w:val="clear" w:color="auto" w:fill="FFFFFF"/>
        </w:rPr>
        <w:t>10</w:t>
      </w:r>
      <w:r>
        <w:rPr>
          <w:rFonts w:ascii="仿宋_GB2312" w:eastAsia="仿宋_GB2312" w:hAnsi="仿宋_GB2312" w:cs="仿宋_GB2312" w:hint="eastAsia"/>
          <w:color w:val="333333"/>
          <w:sz w:val="32"/>
          <w:szCs w:val="32"/>
          <w:shd w:val="clear" w:color="auto" w:fill="FFFFFF"/>
        </w:rPr>
        <w:t>万元，占项目支出的</w:t>
      </w:r>
      <w:r>
        <w:rPr>
          <w:rFonts w:ascii="仿宋_GB2312" w:eastAsia="仿宋_GB2312" w:hAnsi="仿宋_GB2312" w:cs="仿宋_GB2312" w:hint="eastAsia"/>
          <w:color w:val="333333"/>
          <w:sz w:val="32"/>
          <w:szCs w:val="32"/>
          <w:shd w:val="clear" w:color="auto" w:fill="FFFFFF"/>
        </w:rPr>
        <w:t>0.6</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Autospacing="0" w:afterAutospacing="0" w:line="480" w:lineRule="atLeast"/>
        <w:ind w:firstLine="320" w:firstLineChars="1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差旅费</w:t>
      </w:r>
      <w:r>
        <w:rPr>
          <w:rFonts w:ascii="仿宋_GB2312" w:eastAsia="仿宋_GB2312" w:hAnsi="仿宋_GB2312" w:cs="仿宋_GB2312" w:hint="eastAsia"/>
          <w:color w:val="333333"/>
          <w:sz w:val="32"/>
          <w:szCs w:val="32"/>
          <w:shd w:val="clear" w:color="auto" w:fill="FFFFFF"/>
        </w:rPr>
        <w:t>4.7</w:t>
      </w:r>
      <w:r>
        <w:rPr>
          <w:rFonts w:ascii="仿宋_GB2312" w:eastAsia="仿宋_GB2312" w:hAnsi="仿宋_GB2312" w:cs="仿宋_GB2312" w:hint="eastAsia"/>
          <w:color w:val="333333"/>
          <w:sz w:val="32"/>
          <w:szCs w:val="32"/>
          <w:shd w:val="clear" w:color="auto" w:fill="FFFFFF"/>
        </w:rPr>
        <w:t>万元，占项目支出的</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3</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Autospacing="0" w:afterAutospacing="0" w:line="480" w:lineRule="atLeast"/>
        <w:ind w:firstLine="320" w:firstLineChars="1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3</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劳务费</w:t>
      </w:r>
      <w:r>
        <w:rPr>
          <w:rFonts w:ascii="仿宋_GB2312" w:eastAsia="仿宋_GB2312" w:hAnsi="仿宋_GB2312" w:cs="仿宋_GB2312" w:hint="eastAsia"/>
          <w:color w:val="333333"/>
          <w:sz w:val="32"/>
          <w:szCs w:val="32"/>
          <w:shd w:val="clear" w:color="auto" w:fill="FFFFFF"/>
        </w:rPr>
        <w:t>44.3</w:t>
      </w:r>
      <w:r>
        <w:rPr>
          <w:rFonts w:ascii="仿宋_GB2312" w:eastAsia="仿宋_GB2312" w:hAnsi="仿宋_GB2312" w:cs="仿宋_GB2312" w:hint="eastAsia"/>
          <w:color w:val="333333"/>
          <w:sz w:val="32"/>
          <w:szCs w:val="32"/>
          <w:shd w:val="clear" w:color="auto" w:fill="FFFFFF"/>
        </w:rPr>
        <w:t>万元，占项目支出的</w:t>
      </w:r>
      <w:r>
        <w:rPr>
          <w:rFonts w:ascii="仿宋_GB2312" w:eastAsia="仿宋_GB2312" w:hAnsi="仿宋_GB2312" w:cs="仿宋_GB2312" w:hint="eastAsia"/>
          <w:color w:val="333333"/>
          <w:sz w:val="32"/>
          <w:szCs w:val="32"/>
          <w:shd w:val="clear" w:color="auto" w:fill="FFFFFF"/>
        </w:rPr>
        <w:t>2.7</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Autospacing="0" w:afterAutospacing="0" w:line="480" w:lineRule="atLeast"/>
        <w:ind w:firstLine="320" w:firstLineChars="1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(4)</w:t>
      </w:r>
      <w:r>
        <w:rPr>
          <w:rFonts w:ascii="仿宋_GB2312" w:eastAsia="仿宋_GB2312" w:hAnsi="仿宋_GB2312" w:cs="仿宋_GB2312" w:hint="eastAsia"/>
          <w:color w:val="333333"/>
          <w:sz w:val="32"/>
          <w:szCs w:val="32"/>
          <w:shd w:val="clear" w:color="auto" w:fill="FFFFFF"/>
        </w:rPr>
        <w:t>委托业务费</w:t>
      </w:r>
      <w:r>
        <w:rPr>
          <w:rFonts w:ascii="仿宋_GB2312" w:eastAsia="仿宋_GB2312" w:hAnsi="仿宋_GB2312" w:cs="仿宋_GB2312" w:hint="eastAsia"/>
          <w:color w:val="333333"/>
          <w:sz w:val="32"/>
          <w:szCs w:val="32"/>
          <w:shd w:val="clear" w:color="auto" w:fill="FFFFFF"/>
        </w:rPr>
        <w:t>36.1</w:t>
      </w:r>
      <w:r>
        <w:rPr>
          <w:rFonts w:ascii="仿宋_GB2312" w:eastAsia="仿宋_GB2312" w:hAnsi="仿宋_GB2312" w:cs="仿宋_GB2312" w:hint="eastAsia"/>
          <w:color w:val="333333"/>
          <w:sz w:val="32"/>
          <w:szCs w:val="32"/>
          <w:shd w:val="clear" w:color="auto" w:fill="FFFFFF"/>
        </w:rPr>
        <w:t>万元，占项目支出的</w:t>
      </w:r>
      <w:r>
        <w:rPr>
          <w:rFonts w:ascii="仿宋_GB2312" w:eastAsia="仿宋_GB2312" w:hAnsi="仿宋_GB2312" w:cs="仿宋_GB2312" w:hint="eastAsia"/>
          <w:color w:val="333333"/>
          <w:sz w:val="32"/>
          <w:szCs w:val="32"/>
          <w:shd w:val="clear" w:color="auto" w:fill="FFFFFF"/>
        </w:rPr>
        <w:t>2.2%</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105" w:beforeAutospacing="0" w:after="105" w:afterAutospacing="0" w:line="600" w:lineRule="atLeast"/>
        <w:ind w:firstLine="320" w:firstLineChars="1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5</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电费</w:t>
      </w:r>
      <w:r>
        <w:rPr>
          <w:rFonts w:ascii="仿宋_GB2312" w:eastAsia="仿宋_GB2312" w:hAnsi="仿宋_GB2312" w:cs="仿宋_GB2312" w:hint="eastAsia"/>
          <w:color w:val="333333"/>
          <w:sz w:val="32"/>
          <w:szCs w:val="32"/>
          <w:shd w:val="clear" w:color="auto" w:fill="FFFFFF"/>
        </w:rPr>
        <w:t>1.5</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水费</w:t>
      </w:r>
      <w:r>
        <w:rPr>
          <w:rFonts w:ascii="仿宋_GB2312" w:eastAsia="仿宋_GB2312" w:hAnsi="仿宋_GB2312" w:cs="仿宋_GB2312" w:hint="eastAsia"/>
          <w:color w:val="333333"/>
          <w:sz w:val="32"/>
          <w:szCs w:val="32"/>
          <w:shd w:val="clear" w:color="auto" w:fill="FFFFFF"/>
        </w:rPr>
        <w:t>0.7</w:t>
      </w:r>
      <w:r>
        <w:rPr>
          <w:rFonts w:ascii="仿宋_GB2312" w:eastAsia="仿宋_GB2312" w:hAnsi="仿宋_GB2312" w:cs="仿宋_GB2312" w:hint="eastAsia"/>
          <w:color w:val="333333"/>
          <w:sz w:val="32"/>
          <w:szCs w:val="32"/>
          <w:shd w:val="clear" w:color="auto" w:fill="FFFFFF"/>
        </w:rPr>
        <w:t>万元、培训费</w:t>
      </w:r>
      <w:r>
        <w:rPr>
          <w:rFonts w:ascii="仿宋_GB2312" w:eastAsia="仿宋_GB2312" w:hAnsi="仿宋_GB2312" w:cs="仿宋_GB2312" w:hint="eastAsia"/>
          <w:color w:val="333333"/>
          <w:sz w:val="32"/>
          <w:szCs w:val="32"/>
          <w:shd w:val="clear" w:color="auto" w:fill="FFFFFF"/>
        </w:rPr>
        <w:t>0.3</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、公务接待费</w:t>
      </w:r>
      <w:r>
        <w:rPr>
          <w:rFonts w:ascii="仿宋_GB2312" w:eastAsia="仿宋_GB2312" w:hAnsi="仿宋_GB2312" w:cs="仿宋_GB2312" w:hint="eastAsia"/>
          <w:color w:val="333333"/>
          <w:sz w:val="32"/>
          <w:szCs w:val="32"/>
          <w:shd w:val="clear" w:color="auto" w:fill="FFFFFF"/>
        </w:rPr>
        <w:t>0.6</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各项小计</w:t>
      </w:r>
      <w:r>
        <w:rPr>
          <w:rFonts w:ascii="仿宋_GB2312" w:eastAsia="仿宋_GB2312" w:hAnsi="仿宋_GB2312" w:cs="仿宋_GB2312" w:hint="eastAsia"/>
          <w:color w:val="333333"/>
          <w:sz w:val="32"/>
          <w:szCs w:val="32"/>
          <w:shd w:val="clear" w:color="auto" w:fill="FFFFFF"/>
        </w:rPr>
        <w:t>3.</w:t>
      </w:r>
      <w:r>
        <w:rPr>
          <w:rFonts w:ascii="仿宋_GB2312" w:eastAsia="仿宋_GB2312" w:hAnsi="仿宋_GB2312" w:cs="仿宋_GB2312" w:hint="eastAsia"/>
          <w:color w:val="333333"/>
          <w:sz w:val="32"/>
          <w:szCs w:val="32"/>
          <w:shd w:val="clear" w:color="auto" w:fill="FFFFFF"/>
        </w:rPr>
        <w:t>1</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占项目支出</w:t>
      </w:r>
      <w:r>
        <w:rPr>
          <w:rFonts w:ascii="仿宋_GB2312" w:eastAsia="仿宋_GB2312" w:hAnsi="仿宋_GB2312" w:cs="仿宋_GB2312" w:hint="eastAsia"/>
          <w:color w:val="333333"/>
          <w:sz w:val="32"/>
          <w:szCs w:val="32"/>
          <w:shd w:val="clear" w:color="auto" w:fill="FFFFFF"/>
        </w:rPr>
        <w:t>的</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105" w:beforeAutospacing="0" w:after="105" w:afterAutospacing="0" w:line="600" w:lineRule="atLeast"/>
        <w:ind w:firstLine="320" w:firstLineChars="1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(6)</w:t>
      </w:r>
      <w:r>
        <w:rPr>
          <w:rFonts w:ascii="仿宋_GB2312" w:eastAsia="仿宋_GB2312" w:hAnsi="仿宋_GB2312" w:cs="仿宋_GB2312" w:hint="eastAsia"/>
          <w:color w:val="333333"/>
          <w:sz w:val="32"/>
          <w:szCs w:val="32"/>
          <w:shd w:val="clear" w:color="auto" w:fill="FFFFFF"/>
        </w:rPr>
        <w:t>公务用车运行维护费</w:t>
      </w:r>
      <w:r>
        <w:rPr>
          <w:rFonts w:ascii="仿宋_GB2312" w:eastAsia="仿宋_GB2312" w:hAnsi="仿宋_GB2312" w:cs="仿宋_GB2312" w:hint="eastAsia"/>
          <w:color w:val="333333"/>
          <w:sz w:val="32"/>
          <w:szCs w:val="32"/>
          <w:shd w:val="clear" w:color="auto" w:fill="FFFFFF"/>
        </w:rPr>
        <w:t>2.4</w:t>
      </w:r>
      <w:r>
        <w:rPr>
          <w:rFonts w:ascii="仿宋_GB2312" w:eastAsia="仿宋_GB2312" w:hAnsi="仿宋_GB2312" w:cs="仿宋_GB2312" w:hint="eastAsia"/>
          <w:color w:val="333333"/>
          <w:sz w:val="32"/>
          <w:szCs w:val="32"/>
          <w:shd w:val="clear" w:color="auto" w:fill="FFFFFF"/>
        </w:rPr>
        <w:t>万元，占项目支出</w:t>
      </w:r>
      <w:r>
        <w:rPr>
          <w:rFonts w:ascii="仿宋_GB2312" w:eastAsia="仿宋_GB2312" w:hAnsi="仿宋_GB2312" w:cs="仿宋_GB2312" w:hint="eastAsia"/>
          <w:color w:val="333333"/>
          <w:sz w:val="32"/>
          <w:szCs w:val="32"/>
          <w:shd w:val="clear" w:color="auto" w:fill="FFFFFF"/>
        </w:rPr>
        <w:t>的</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105" w:beforeAutospacing="0" w:after="105" w:afterAutospacing="0" w:line="600" w:lineRule="atLeast"/>
        <w:ind w:firstLine="320" w:firstLineChars="1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7</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其他商品和服务支出</w:t>
      </w:r>
      <w:r>
        <w:rPr>
          <w:rFonts w:ascii="仿宋_GB2312" w:eastAsia="仿宋_GB2312" w:hAnsi="仿宋_GB2312" w:cs="仿宋_GB2312" w:hint="eastAsia"/>
          <w:color w:val="333333"/>
          <w:sz w:val="32"/>
          <w:szCs w:val="32"/>
          <w:shd w:val="clear" w:color="auto" w:fill="FFFFFF"/>
        </w:rPr>
        <w:t>15.4</w:t>
      </w:r>
      <w:r>
        <w:rPr>
          <w:rFonts w:ascii="仿宋_GB2312" w:eastAsia="仿宋_GB2312" w:hAnsi="仿宋_GB2312" w:cs="仿宋_GB2312" w:hint="eastAsia"/>
          <w:color w:val="333333"/>
          <w:sz w:val="32"/>
          <w:szCs w:val="32"/>
          <w:shd w:val="clear" w:color="auto" w:fill="FFFFFF"/>
        </w:rPr>
        <w:t>万元，占项目支出的</w:t>
      </w:r>
      <w:r>
        <w:rPr>
          <w:rFonts w:ascii="仿宋_GB2312" w:eastAsia="仿宋_GB2312" w:hAnsi="仿宋_GB2312" w:cs="仿宋_GB2312" w:hint="eastAsia"/>
          <w:color w:val="333333"/>
          <w:sz w:val="32"/>
          <w:szCs w:val="32"/>
          <w:shd w:val="clear" w:color="auto" w:fill="FFFFFF"/>
        </w:rPr>
        <w:t>1</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105" w:beforeAutospacing="0" w:after="105" w:afterAutospacing="0" w:line="600" w:lineRule="atLeast"/>
        <w:ind w:firstLine="320" w:firstLineChars="1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8</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资本性支出</w:t>
      </w:r>
      <w:r>
        <w:rPr>
          <w:rFonts w:ascii="仿宋_GB2312" w:eastAsia="仿宋_GB2312" w:hAnsi="仿宋_GB2312" w:cs="仿宋_GB2312" w:hint="eastAsia"/>
          <w:color w:val="333333"/>
          <w:sz w:val="32"/>
          <w:szCs w:val="32"/>
          <w:shd w:val="clear" w:color="auto" w:fill="FFFFFF"/>
        </w:rPr>
        <w:t>基础设施建设</w:t>
      </w:r>
      <w:r>
        <w:rPr>
          <w:rFonts w:ascii="仿宋_GB2312" w:eastAsia="仿宋_GB2312" w:hAnsi="仿宋_GB2312" w:cs="仿宋_GB2312" w:hint="eastAsia"/>
          <w:color w:val="333333"/>
          <w:sz w:val="32"/>
          <w:szCs w:val="32"/>
          <w:shd w:val="clear" w:color="auto" w:fill="FFFFFF"/>
        </w:rPr>
        <w:t>1500</w:t>
      </w:r>
      <w:r>
        <w:rPr>
          <w:rFonts w:ascii="仿宋_GB2312" w:eastAsia="仿宋_GB2312" w:hAnsi="仿宋_GB2312" w:cs="仿宋_GB2312" w:hint="eastAsia"/>
          <w:color w:val="333333"/>
          <w:sz w:val="32"/>
          <w:szCs w:val="32"/>
          <w:shd w:val="clear" w:color="auto" w:fill="FFFFFF"/>
        </w:rPr>
        <w:t>万元，占项目支出的</w:t>
      </w:r>
      <w:r>
        <w:rPr>
          <w:rFonts w:ascii="仿宋_GB2312" w:eastAsia="仿宋_GB2312" w:hAnsi="仿宋_GB2312" w:cs="仿宋_GB2312" w:hint="eastAsia"/>
          <w:color w:val="333333"/>
          <w:sz w:val="32"/>
          <w:szCs w:val="32"/>
          <w:shd w:val="clear" w:color="auto" w:fill="FFFFFF"/>
        </w:rPr>
        <w:t>92.8</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105" w:beforeAutospacing="0" w:after="105" w:afterAutospacing="0" w:line="600" w:lineRule="atLeast"/>
        <w:ind w:firstLine="320" w:firstLineChars="1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三、一般公共预算财政拨款支出决算情况说明</w:t>
      </w:r>
    </w:p>
    <w:p w:rsidR="00F17834">
      <w:pPr>
        <w:pStyle w:val="NormalWeb"/>
        <w:widowControl/>
        <w:shd w:val="clear" w:color="auto" w:fill="FFFFFF"/>
        <w:spacing w:before="105" w:beforeAutospacing="0" w:after="105" w:afterAutospacing="0" w:line="60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（一）一般公共预算财政拨款支出决算总体情况</w:t>
      </w:r>
    </w:p>
    <w:p w:rsidR="00F17834">
      <w:pPr>
        <w:pStyle w:val="NormalWeb"/>
        <w:widowControl/>
        <w:shd w:val="clear" w:color="auto" w:fill="FFFFFF"/>
        <w:spacing w:before="105" w:beforeAutospacing="0" w:after="105" w:afterAutospacing="0" w:line="600" w:lineRule="atLeast"/>
        <w:ind w:firstLine="6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迪庆州</w:t>
      </w:r>
      <w:r>
        <w:rPr>
          <w:rFonts w:ascii="仿宋_GB2312" w:eastAsia="仿宋_GB2312" w:hAnsi="仿宋_GB2312" w:cs="仿宋_GB2312" w:hint="eastAsia"/>
          <w:color w:val="333333"/>
          <w:sz w:val="32"/>
          <w:szCs w:val="32"/>
          <w:shd w:val="clear" w:color="auto" w:fill="FFFFFF"/>
        </w:rPr>
        <w:t>城乡规划管理局</w:t>
      </w: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年度一般公共预算财政拨款支出</w:t>
      </w:r>
      <w:r>
        <w:rPr>
          <w:rFonts w:ascii="仿宋_GB2312" w:eastAsia="仿宋_GB2312" w:hAnsi="仿宋_GB2312" w:cs="仿宋_GB2312" w:hint="eastAsia"/>
          <w:color w:val="333333"/>
          <w:sz w:val="32"/>
          <w:szCs w:val="32"/>
          <w:shd w:val="clear" w:color="auto" w:fill="FFFFFF"/>
        </w:rPr>
        <w:t>2036</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占本年支出合计的</w:t>
      </w:r>
      <w:r>
        <w:rPr>
          <w:rFonts w:ascii="仿宋_GB2312" w:eastAsia="仿宋_GB2312" w:hAnsi="仿宋_GB2312" w:cs="仿宋_GB2312" w:hint="eastAsia"/>
          <w:color w:val="333333"/>
          <w:sz w:val="32"/>
          <w:szCs w:val="32"/>
          <w:shd w:val="clear" w:color="auto" w:fill="FFFFFF"/>
        </w:rPr>
        <w:t>100</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。其中：基本支出</w:t>
      </w:r>
      <w:r>
        <w:rPr>
          <w:rFonts w:ascii="仿宋_GB2312" w:eastAsia="仿宋_GB2312" w:hAnsi="仿宋_GB2312" w:cs="仿宋_GB2312" w:hint="eastAsia"/>
          <w:color w:val="333333"/>
          <w:sz w:val="32"/>
          <w:szCs w:val="32"/>
          <w:shd w:val="clear" w:color="auto" w:fill="FFFFFF"/>
        </w:rPr>
        <w:t>420</w:t>
      </w:r>
      <w:r>
        <w:rPr>
          <w:rFonts w:ascii="仿宋_GB2312" w:eastAsia="仿宋_GB2312" w:hAnsi="仿宋_GB2312" w:cs="仿宋_GB2312" w:hint="eastAsia"/>
          <w:color w:val="333333"/>
          <w:sz w:val="32"/>
          <w:szCs w:val="32"/>
          <w:shd w:val="clear" w:color="auto" w:fill="FFFFFF"/>
        </w:rPr>
        <w:t>万元，占财政拨款支出的</w:t>
      </w:r>
      <w:r>
        <w:rPr>
          <w:rFonts w:ascii="仿宋_GB2312" w:eastAsia="仿宋_GB2312" w:hAnsi="仿宋_GB2312" w:cs="仿宋_GB2312" w:hint="eastAsia"/>
          <w:color w:val="333333"/>
          <w:sz w:val="32"/>
          <w:szCs w:val="32"/>
          <w:shd w:val="clear" w:color="auto" w:fill="FFFFFF"/>
        </w:rPr>
        <w:t>21</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，其中：项目支出</w:t>
      </w:r>
      <w:r>
        <w:rPr>
          <w:rFonts w:ascii="仿宋_GB2312" w:eastAsia="仿宋_GB2312" w:hAnsi="仿宋_GB2312" w:cs="仿宋_GB2312" w:hint="eastAsia"/>
          <w:color w:val="333333"/>
          <w:sz w:val="32"/>
          <w:szCs w:val="32"/>
          <w:shd w:val="clear" w:color="auto" w:fill="FFFFFF"/>
        </w:rPr>
        <w:t>1616</w:t>
      </w:r>
      <w:r>
        <w:rPr>
          <w:rFonts w:ascii="仿宋_GB2312" w:eastAsia="仿宋_GB2312" w:hAnsi="仿宋_GB2312" w:cs="仿宋_GB2312" w:hint="eastAsia"/>
          <w:color w:val="333333"/>
          <w:sz w:val="32"/>
          <w:szCs w:val="32"/>
          <w:shd w:val="clear" w:color="auto" w:fill="FFFFFF"/>
        </w:rPr>
        <w:t>万元，占财政拨款支出的</w:t>
      </w:r>
      <w:r>
        <w:rPr>
          <w:rFonts w:ascii="仿宋_GB2312" w:eastAsia="仿宋_GB2312" w:hAnsi="仿宋_GB2312" w:cs="仿宋_GB2312" w:hint="eastAsia"/>
          <w:color w:val="333333"/>
          <w:sz w:val="32"/>
          <w:szCs w:val="32"/>
          <w:shd w:val="clear" w:color="auto" w:fill="FFFFFF"/>
        </w:rPr>
        <w:t>79</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与上年对比财政拨款支出</w:t>
      </w:r>
      <w:r>
        <w:rPr>
          <w:rFonts w:ascii="仿宋_GB2312" w:eastAsia="仿宋_GB2312" w:hAnsi="仿宋_GB2312" w:cs="仿宋_GB2312" w:hint="eastAsia"/>
          <w:color w:val="333333"/>
          <w:sz w:val="32"/>
          <w:szCs w:val="32"/>
          <w:shd w:val="clear" w:color="auto" w:fill="FFFFFF"/>
        </w:rPr>
        <w:t>减少</w:t>
      </w:r>
      <w:r>
        <w:rPr>
          <w:rFonts w:ascii="仿宋_GB2312" w:eastAsia="仿宋_GB2312" w:hAnsi="仿宋_GB2312" w:cs="仿宋_GB2312" w:hint="eastAsia"/>
          <w:color w:val="333333"/>
          <w:sz w:val="32"/>
          <w:szCs w:val="32"/>
          <w:shd w:val="clear" w:color="auto" w:fill="FFFFFF"/>
        </w:rPr>
        <w:t>5876</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减少</w:t>
      </w:r>
      <w:r>
        <w:rPr>
          <w:rFonts w:ascii="仿宋_GB2312" w:eastAsia="仿宋_GB2312" w:hAnsi="仿宋_GB2312" w:cs="仿宋_GB2312" w:hint="eastAsia"/>
          <w:color w:val="333333"/>
          <w:sz w:val="32"/>
          <w:szCs w:val="32"/>
          <w:shd w:val="clear" w:color="auto" w:fill="FFFFFF"/>
        </w:rPr>
        <w:t>74</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105" w:beforeAutospacing="0" w:after="105" w:afterAutospacing="0" w:line="60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（二）一般公共预算财政拨款支出决算具体情况</w:t>
      </w:r>
      <w:r>
        <w:rPr>
          <w:rFonts w:ascii="仿宋_GB2312" w:eastAsia="仿宋_GB2312" w:hAnsi="仿宋_GB2312" w:cs="仿宋_GB2312" w:hint="eastAsia"/>
          <w:color w:val="333333"/>
          <w:sz w:val="32"/>
          <w:szCs w:val="32"/>
          <w:shd w:val="clear" w:color="auto" w:fill="FFFFFF"/>
        </w:rPr>
        <w:t>  </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1.</w:t>
      </w:r>
      <w:r>
        <w:rPr>
          <w:rFonts w:ascii="仿宋_GB2312" w:eastAsia="仿宋_GB2312" w:hAnsi="仿宋_GB2312" w:cs="仿宋_GB2312" w:hint="eastAsia"/>
          <w:color w:val="333333"/>
          <w:sz w:val="32"/>
          <w:szCs w:val="32"/>
          <w:shd w:val="clear" w:color="auto" w:fill="FFFFFF"/>
        </w:rPr>
        <w:t>工资和福利支出</w:t>
      </w:r>
      <w:r>
        <w:rPr>
          <w:rFonts w:ascii="仿宋_GB2312" w:eastAsia="仿宋_GB2312" w:hAnsi="仿宋_GB2312" w:cs="仿宋_GB2312" w:hint="eastAsia"/>
          <w:color w:val="333333"/>
          <w:sz w:val="32"/>
          <w:szCs w:val="32"/>
          <w:shd w:val="clear" w:color="auto" w:fill="FFFFFF"/>
        </w:rPr>
        <w:t>397</w:t>
      </w:r>
      <w:r>
        <w:rPr>
          <w:rFonts w:ascii="仿宋_GB2312" w:eastAsia="仿宋_GB2312" w:hAnsi="仿宋_GB2312" w:cs="仿宋_GB2312" w:hint="eastAsia"/>
          <w:color w:val="333333"/>
          <w:sz w:val="32"/>
          <w:szCs w:val="32"/>
          <w:shd w:val="clear" w:color="auto" w:fill="FFFFFF"/>
        </w:rPr>
        <w:t>万元，占一般公共预算财政拨款总支出的</w:t>
      </w:r>
      <w:r>
        <w:rPr>
          <w:rFonts w:ascii="仿宋_GB2312" w:eastAsia="仿宋_GB2312" w:hAnsi="仿宋_GB2312" w:cs="仿宋_GB2312" w:hint="eastAsia"/>
          <w:color w:val="333333"/>
          <w:sz w:val="32"/>
          <w:szCs w:val="32"/>
          <w:shd w:val="clear" w:color="auto" w:fill="FFFFFF"/>
        </w:rPr>
        <w:t>19</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。主要为基本工资、津补贴、奖金五险</w:t>
      </w:r>
      <w:r>
        <w:rPr>
          <w:rFonts w:ascii="仿宋_GB2312" w:eastAsia="仿宋_GB2312" w:hAnsi="仿宋_GB2312" w:cs="仿宋_GB2312" w:hint="eastAsia"/>
          <w:color w:val="333333"/>
          <w:sz w:val="32"/>
          <w:szCs w:val="32"/>
          <w:shd w:val="clear" w:color="auto" w:fill="FFFFFF"/>
        </w:rPr>
        <w:t>一</w:t>
      </w:r>
      <w:r>
        <w:rPr>
          <w:rFonts w:ascii="仿宋_GB2312" w:eastAsia="仿宋_GB2312" w:hAnsi="仿宋_GB2312" w:cs="仿宋_GB2312" w:hint="eastAsia"/>
          <w:color w:val="333333"/>
          <w:sz w:val="32"/>
          <w:szCs w:val="32"/>
          <w:shd w:val="clear" w:color="auto" w:fill="FFFFFF"/>
        </w:rPr>
        <w:t>金、编外人员其他工资和福利支出。</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、商品和服务支出</w:t>
      </w:r>
      <w:r>
        <w:rPr>
          <w:rFonts w:ascii="仿宋_GB2312" w:eastAsia="仿宋_GB2312" w:hAnsi="仿宋_GB2312" w:cs="仿宋_GB2312" w:hint="eastAsia"/>
          <w:color w:val="333333"/>
          <w:sz w:val="32"/>
          <w:szCs w:val="32"/>
          <w:shd w:val="clear" w:color="auto" w:fill="FFFFFF"/>
        </w:rPr>
        <w:t>139</w:t>
      </w:r>
      <w:r>
        <w:rPr>
          <w:rFonts w:ascii="仿宋_GB2312" w:eastAsia="仿宋_GB2312" w:hAnsi="仿宋_GB2312" w:cs="仿宋_GB2312" w:hint="eastAsia"/>
          <w:color w:val="333333"/>
          <w:sz w:val="32"/>
          <w:szCs w:val="32"/>
          <w:shd w:val="clear" w:color="auto" w:fill="FFFFFF"/>
        </w:rPr>
        <w:t>万元，占一般公共预算财政拨款总支出的</w:t>
      </w:r>
      <w:r>
        <w:rPr>
          <w:rFonts w:ascii="仿宋_GB2312" w:eastAsia="仿宋_GB2312" w:hAnsi="仿宋_GB2312" w:cs="仿宋_GB2312" w:hint="eastAsia"/>
          <w:color w:val="333333"/>
          <w:sz w:val="32"/>
          <w:szCs w:val="32"/>
          <w:shd w:val="clear" w:color="auto" w:fill="FFFFFF"/>
        </w:rPr>
        <w:t>7</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，主要用于公务接待、日常公务运转、会议、培训费、公务用车运行维护等。</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3</w:t>
      </w:r>
      <w:r>
        <w:rPr>
          <w:rFonts w:ascii="仿宋_GB2312" w:eastAsia="仿宋_GB2312" w:hAnsi="仿宋_GB2312" w:cs="仿宋_GB2312" w:hint="eastAsia"/>
          <w:color w:val="333333"/>
          <w:sz w:val="32"/>
          <w:szCs w:val="32"/>
          <w:shd w:val="clear" w:color="auto" w:fill="FFFFFF"/>
        </w:rPr>
        <w:t>、资本性支出</w:t>
      </w:r>
      <w:r>
        <w:rPr>
          <w:rFonts w:ascii="仿宋_GB2312" w:eastAsia="仿宋_GB2312" w:hAnsi="仿宋_GB2312" w:cs="仿宋_GB2312" w:hint="eastAsia"/>
          <w:color w:val="333333"/>
          <w:sz w:val="32"/>
          <w:szCs w:val="32"/>
          <w:shd w:val="clear" w:color="auto" w:fill="FFFFFF"/>
        </w:rPr>
        <w:t>1500</w:t>
      </w:r>
      <w:r>
        <w:rPr>
          <w:rFonts w:ascii="仿宋_GB2312" w:eastAsia="仿宋_GB2312" w:hAnsi="仿宋_GB2312" w:cs="仿宋_GB2312" w:hint="eastAsia"/>
          <w:color w:val="333333"/>
          <w:sz w:val="32"/>
          <w:szCs w:val="32"/>
          <w:shd w:val="clear" w:color="auto" w:fill="FFFFFF"/>
        </w:rPr>
        <w:t>万元，占一般公共预算财政拨款总支出的</w:t>
      </w:r>
      <w:r>
        <w:rPr>
          <w:rFonts w:ascii="仿宋_GB2312" w:eastAsia="仿宋_GB2312" w:hAnsi="仿宋_GB2312" w:cs="仿宋_GB2312" w:hint="eastAsia"/>
          <w:color w:val="333333"/>
          <w:sz w:val="32"/>
          <w:szCs w:val="32"/>
          <w:shd w:val="clear" w:color="auto" w:fill="FFFFFF"/>
        </w:rPr>
        <w:t>74</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。主要用于</w:t>
      </w:r>
      <w:r>
        <w:rPr>
          <w:rFonts w:ascii="仿宋_GB2312" w:eastAsia="仿宋_GB2312" w:hAnsi="仿宋_GB2312" w:cs="仿宋_GB2312" w:hint="eastAsia"/>
          <w:color w:val="333333"/>
          <w:sz w:val="32"/>
          <w:szCs w:val="32"/>
          <w:shd w:val="clear" w:color="auto" w:fill="FFFFFF"/>
        </w:rPr>
        <w:t>基础设施建设</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105" w:beforeAutospacing="0" w:after="105" w:afterAutospacing="0" w:line="360" w:lineRule="atLeast"/>
        <w:ind w:firstLine="640" w:firstLineChars="2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四、一般公共预算财政拨款“三公”经费支出决算情况说明</w:t>
      </w:r>
    </w:p>
    <w:p w:rsidR="00F17834">
      <w:pPr>
        <w:pStyle w:val="NormalWeb"/>
        <w:widowControl/>
        <w:shd w:val="clear" w:color="auto" w:fill="FFFFFF"/>
        <w:spacing w:before="105" w:beforeAutospacing="0" w:after="105" w:afterAutospacing="0" w:line="360" w:lineRule="atLeast"/>
        <w:ind w:firstLine="640" w:firstLineChars="2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一</w:t>
      </w:r>
      <w:r>
        <w:rPr>
          <w:rFonts w:ascii="仿宋_GB2312" w:eastAsia="仿宋_GB2312" w:hAnsi="仿宋_GB2312" w:cs="仿宋_GB2312" w:hint="eastAsia"/>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一般公共预算财政拨款“三公”经费支出决算总体情况</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年度一般公共预算财政拨款“三公”经费支出预算为</w:t>
      </w:r>
      <w:r>
        <w:rPr>
          <w:rFonts w:ascii="仿宋_GB2312" w:eastAsia="仿宋_GB2312" w:hAnsi="仿宋_GB2312" w:cs="仿宋_GB2312" w:hint="eastAsia"/>
          <w:color w:val="333333"/>
          <w:sz w:val="32"/>
          <w:szCs w:val="32"/>
          <w:shd w:val="clear" w:color="auto" w:fill="FFFFFF"/>
        </w:rPr>
        <w:t>6.8</w:t>
      </w:r>
      <w:r>
        <w:rPr>
          <w:rFonts w:ascii="仿宋_GB2312" w:eastAsia="仿宋_GB2312" w:hAnsi="仿宋_GB2312" w:cs="仿宋_GB2312" w:hint="eastAsia"/>
          <w:color w:val="333333"/>
          <w:sz w:val="32"/>
          <w:szCs w:val="32"/>
          <w:shd w:val="clear" w:color="auto" w:fill="FFFFFF"/>
        </w:rPr>
        <w:t>万元，支出决算为</w:t>
      </w:r>
      <w:r w:rsidR="0032600C">
        <w:rPr>
          <w:rFonts w:ascii="仿宋_GB2312" w:eastAsia="仿宋_GB2312" w:hAnsi="仿宋_GB2312" w:cs="仿宋_GB2312" w:hint="eastAsia"/>
          <w:color w:val="333333"/>
          <w:sz w:val="32"/>
          <w:szCs w:val="32"/>
          <w:shd w:val="clear" w:color="auto" w:fill="FFFFFF"/>
        </w:rPr>
        <w:t>3.3</w:t>
      </w:r>
      <w:r>
        <w:rPr>
          <w:rFonts w:ascii="仿宋_GB2312" w:eastAsia="仿宋_GB2312" w:hAnsi="仿宋_GB2312" w:cs="仿宋_GB2312" w:hint="eastAsia"/>
          <w:color w:val="333333"/>
          <w:sz w:val="32"/>
          <w:szCs w:val="32"/>
          <w:shd w:val="clear" w:color="auto" w:fill="FFFFFF"/>
        </w:rPr>
        <w:t>万元。其中：因公出国（境）费支出决算为</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万元；无公务用车购置、公务用车运行费支出决算为</w:t>
      </w:r>
      <w:r w:rsidR="0032600C">
        <w:rPr>
          <w:rFonts w:ascii="仿宋_GB2312" w:eastAsia="仿宋_GB2312" w:hAnsi="仿宋_GB2312" w:cs="仿宋_GB2312" w:hint="eastAsia"/>
          <w:color w:val="333333"/>
          <w:sz w:val="32"/>
          <w:szCs w:val="32"/>
          <w:shd w:val="clear" w:color="auto" w:fill="FFFFFF"/>
        </w:rPr>
        <w:t>2.8</w:t>
      </w:r>
      <w:r>
        <w:rPr>
          <w:rFonts w:ascii="仿宋_GB2312" w:eastAsia="仿宋_GB2312" w:hAnsi="仿宋_GB2312" w:cs="仿宋_GB2312" w:hint="eastAsia"/>
          <w:color w:val="333333"/>
          <w:sz w:val="32"/>
          <w:szCs w:val="32"/>
          <w:shd w:val="clear" w:color="auto" w:fill="FFFFFF"/>
        </w:rPr>
        <w:t>万元，；公务接待费支出决算为</w:t>
      </w:r>
      <w:r>
        <w:rPr>
          <w:rFonts w:ascii="仿宋_GB2312" w:eastAsia="仿宋_GB2312" w:hAnsi="仿宋_GB2312" w:cs="仿宋_GB2312" w:hint="eastAsia"/>
          <w:color w:val="333333"/>
          <w:sz w:val="32"/>
          <w:szCs w:val="32"/>
          <w:shd w:val="clear" w:color="auto" w:fill="FFFFFF"/>
        </w:rPr>
        <w:t>0.5</w:t>
      </w:r>
      <w:r>
        <w:rPr>
          <w:rFonts w:ascii="仿宋_GB2312" w:eastAsia="仿宋_GB2312" w:hAnsi="仿宋_GB2312" w:cs="仿宋_GB2312" w:hint="eastAsia"/>
          <w:color w:val="333333"/>
          <w:sz w:val="32"/>
          <w:szCs w:val="32"/>
          <w:shd w:val="clear" w:color="auto" w:fill="FFFFFF"/>
        </w:rPr>
        <w:t>万元。</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二</w:t>
      </w:r>
      <w:r>
        <w:rPr>
          <w:rFonts w:ascii="仿宋_GB2312" w:eastAsia="仿宋_GB2312" w:hAnsi="仿宋_GB2312" w:cs="仿宋_GB2312" w:hint="eastAsia"/>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一般公共预算财政拨款“三公”经费支出决算具体情况</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年度一般公共预算财政拨款“三公”经费支出决算中，因公出国（境）费支出</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万元，占</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；公务用车购置及运行维护费支出</w:t>
      </w:r>
      <w:r w:rsidR="00DD4D32">
        <w:rPr>
          <w:rFonts w:ascii="仿宋_GB2312" w:eastAsia="仿宋_GB2312" w:hAnsi="仿宋_GB2312" w:cs="仿宋_GB2312" w:hint="eastAsia"/>
          <w:color w:val="333333"/>
          <w:sz w:val="32"/>
          <w:szCs w:val="32"/>
          <w:shd w:val="clear" w:color="auto" w:fill="FFFFFF"/>
        </w:rPr>
        <w:t>2.8</w:t>
      </w:r>
      <w:r>
        <w:rPr>
          <w:rFonts w:ascii="仿宋_GB2312" w:eastAsia="仿宋_GB2312" w:hAnsi="仿宋_GB2312" w:cs="仿宋_GB2312" w:hint="eastAsia"/>
          <w:color w:val="333333"/>
          <w:sz w:val="32"/>
          <w:szCs w:val="32"/>
          <w:shd w:val="clear" w:color="auto" w:fill="FFFFFF"/>
        </w:rPr>
        <w:t>万元，占总“三公”经费支出的</w:t>
      </w:r>
      <w:r w:rsidR="00DD4D32">
        <w:rPr>
          <w:rFonts w:ascii="仿宋_GB2312" w:eastAsia="仿宋_GB2312" w:hAnsi="仿宋_GB2312" w:cs="仿宋_GB2312" w:hint="eastAsia"/>
          <w:color w:val="333333"/>
          <w:sz w:val="32"/>
          <w:szCs w:val="32"/>
          <w:shd w:val="clear" w:color="auto" w:fill="FFFFFF"/>
        </w:rPr>
        <w:t>85</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；公务接待费支出</w:t>
      </w:r>
      <w:r>
        <w:rPr>
          <w:rFonts w:ascii="仿宋_GB2312" w:eastAsia="仿宋_GB2312" w:hAnsi="仿宋_GB2312" w:cs="仿宋_GB2312" w:hint="eastAsia"/>
          <w:color w:val="333333"/>
          <w:sz w:val="32"/>
          <w:szCs w:val="32"/>
          <w:shd w:val="clear" w:color="auto" w:fill="FFFFFF"/>
        </w:rPr>
        <w:t>0.5</w:t>
      </w:r>
      <w:r>
        <w:rPr>
          <w:rFonts w:ascii="仿宋_GB2312" w:eastAsia="仿宋_GB2312" w:hAnsi="仿宋_GB2312" w:cs="仿宋_GB2312" w:hint="eastAsia"/>
          <w:color w:val="333333"/>
          <w:sz w:val="32"/>
          <w:szCs w:val="32"/>
          <w:shd w:val="clear" w:color="auto" w:fill="FFFFFF"/>
        </w:rPr>
        <w:t>万元，占总“三公”经费支出的</w:t>
      </w:r>
      <w:r w:rsidR="00DD4D32">
        <w:rPr>
          <w:rFonts w:ascii="仿宋_GB2312" w:eastAsia="仿宋_GB2312" w:hAnsi="仿宋_GB2312" w:cs="仿宋_GB2312" w:hint="eastAsia"/>
          <w:color w:val="333333"/>
          <w:sz w:val="32"/>
          <w:szCs w:val="32"/>
          <w:shd w:val="clear" w:color="auto" w:fill="FFFFFF"/>
        </w:rPr>
        <w:t>15</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。具体情况如下：</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Style w:val="Strong"/>
          <w:rFonts w:ascii="仿宋_GB2312" w:eastAsia="仿宋_GB2312" w:hAnsi="仿宋_GB2312" w:cs="仿宋_GB2312" w:hint="eastAsia"/>
          <w:b w:val="0"/>
          <w:color w:val="333333"/>
          <w:sz w:val="32"/>
          <w:szCs w:val="32"/>
          <w:shd w:val="clear" w:color="auto" w:fill="FFFFFF"/>
        </w:rPr>
        <w:t>1</w:t>
      </w:r>
      <w:r>
        <w:rPr>
          <w:rStyle w:val="Strong"/>
          <w:rFonts w:ascii="仿宋_GB2312" w:eastAsia="仿宋_GB2312" w:hAnsi="仿宋_GB2312" w:cs="仿宋_GB2312" w:hint="eastAsia"/>
          <w:b w:val="0"/>
          <w:color w:val="333333"/>
          <w:sz w:val="32"/>
          <w:szCs w:val="32"/>
          <w:shd w:val="clear" w:color="auto" w:fill="FFFFFF"/>
        </w:rPr>
        <w:t>、因公出国（境）费</w:t>
      </w:r>
      <w:r>
        <w:rPr>
          <w:rFonts w:ascii="仿宋_GB2312" w:eastAsia="仿宋_GB2312" w:hAnsi="仿宋_GB2312" w:cs="仿宋_GB2312" w:hint="eastAsia"/>
          <w:color w:val="333333"/>
          <w:sz w:val="32"/>
          <w:szCs w:val="32"/>
          <w:shd w:val="clear" w:color="auto" w:fill="FFFFFF"/>
        </w:rPr>
        <w:t>支出</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年未安排因公出国（境）团组，累计</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人次。</w:t>
      </w:r>
      <w:bookmarkStart w:id="0" w:name="_GoBack"/>
      <w:bookmarkEnd w:id="0"/>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Style w:val="Strong"/>
          <w:rFonts w:ascii="仿宋_GB2312" w:eastAsia="仿宋_GB2312" w:hAnsi="仿宋_GB2312" w:cs="仿宋_GB2312" w:hint="eastAsia"/>
          <w:b w:val="0"/>
          <w:color w:val="333333"/>
          <w:sz w:val="32"/>
          <w:szCs w:val="32"/>
          <w:shd w:val="clear" w:color="auto" w:fill="FFFFFF"/>
        </w:rPr>
        <w:t xml:space="preserve">2. </w:t>
      </w:r>
      <w:r>
        <w:rPr>
          <w:rStyle w:val="Strong"/>
          <w:rFonts w:ascii="仿宋_GB2312" w:eastAsia="仿宋_GB2312" w:hAnsi="仿宋_GB2312" w:cs="仿宋_GB2312" w:hint="eastAsia"/>
          <w:b w:val="0"/>
          <w:color w:val="333333"/>
          <w:sz w:val="32"/>
          <w:szCs w:val="32"/>
          <w:shd w:val="clear" w:color="auto" w:fill="FFFFFF"/>
        </w:rPr>
        <w:t>公务用</w:t>
      </w:r>
      <w:r>
        <w:rPr>
          <w:rStyle w:val="Strong"/>
          <w:rFonts w:ascii="仿宋_GB2312" w:eastAsia="仿宋_GB2312" w:hAnsi="仿宋_GB2312" w:cs="仿宋_GB2312" w:hint="eastAsia"/>
          <w:b w:val="0"/>
          <w:color w:val="333333"/>
          <w:sz w:val="32"/>
          <w:szCs w:val="32"/>
          <w:shd w:val="clear" w:color="auto" w:fill="FFFFFF"/>
        </w:rPr>
        <w:t>车购置及运行维护费</w:t>
      </w:r>
      <w:r>
        <w:rPr>
          <w:rFonts w:ascii="仿宋_GB2312" w:eastAsia="仿宋_GB2312" w:hAnsi="仿宋_GB2312" w:cs="仿宋_GB2312" w:hint="eastAsia"/>
          <w:color w:val="333333"/>
          <w:sz w:val="32"/>
          <w:szCs w:val="32"/>
          <w:shd w:val="clear" w:color="auto" w:fill="FFFFFF"/>
        </w:rPr>
        <w:t>支出</w:t>
      </w:r>
      <w:r w:rsidR="007415F7">
        <w:rPr>
          <w:rFonts w:ascii="仿宋_GB2312" w:eastAsia="仿宋_GB2312" w:hAnsi="仿宋_GB2312" w:cs="仿宋_GB2312" w:hint="eastAsia"/>
          <w:color w:val="333333"/>
          <w:sz w:val="32"/>
          <w:szCs w:val="32"/>
          <w:shd w:val="clear" w:color="auto" w:fill="FFFFFF"/>
        </w:rPr>
        <w:t>2.8</w:t>
      </w:r>
      <w:r>
        <w:rPr>
          <w:rFonts w:ascii="仿宋_GB2312" w:eastAsia="仿宋_GB2312" w:hAnsi="仿宋_GB2312" w:cs="仿宋_GB2312" w:hint="eastAsia"/>
          <w:color w:val="333333"/>
          <w:sz w:val="32"/>
          <w:szCs w:val="32"/>
          <w:shd w:val="clear" w:color="auto" w:fill="FFFFFF"/>
        </w:rPr>
        <w:t>万元。其中：</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Style w:val="Strong"/>
          <w:rFonts w:ascii="仿宋_GB2312" w:eastAsia="仿宋_GB2312" w:hAnsi="仿宋_GB2312" w:cs="仿宋_GB2312" w:hint="eastAsia"/>
          <w:b w:val="0"/>
          <w:color w:val="333333"/>
          <w:sz w:val="32"/>
          <w:szCs w:val="32"/>
          <w:shd w:val="clear" w:color="auto" w:fill="FFFFFF"/>
        </w:rPr>
        <w:t>公务用车购置</w:t>
      </w:r>
      <w:r>
        <w:rPr>
          <w:rFonts w:ascii="仿宋_GB2312" w:eastAsia="仿宋_GB2312" w:hAnsi="仿宋_GB2312" w:cs="仿宋_GB2312" w:hint="eastAsia"/>
          <w:color w:val="333333"/>
          <w:sz w:val="32"/>
          <w:szCs w:val="32"/>
          <w:shd w:val="clear" w:color="auto" w:fill="FFFFFF"/>
        </w:rPr>
        <w:t>支出</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万元，购置车辆</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辆。</w:t>
      </w:r>
      <w:r>
        <w:rPr>
          <w:rStyle w:val="Strong"/>
          <w:rFonts w:ascii="仿宋_GB2312" w:eastAsia="仿宋_GB2312" w:hAnsi="仿宋_GB2312" w:cs="仿宋_GB2312" w:hint="eastAsia"/>
          <w:b w:val="0"/>
          <w:color w:val="333333"/>
          <w:sz w:val="32"/>
          <w:szCs w:val="32"/>
          <w:shd w:val="clear" w:color="auto" w:fill="FFFFFF"/>
        </w:rPr>
        <w:t>公务用车运行维护</w:t>
      </w:r>
      <w:r>
        <w:rPr>
          <w:rFonts w:ascii="仿宋_GB2312" w:eastAsia="仿宋_GB2312" w:hAnsi="仿宋_GB2312" w:cs="仿宋_GB2312" w:hint="eastAsia"/>
          <w:color w:val="333333"/>
          <w:sz w:val="32"/>
          <w:szCs w:val="32"/>
          <w:shd w:val="clear" w:color="auto" w:fill="FFFFFF"/>
        </w:rPr>
        <w:t>支出</w:t>
      </w:r>
      <w:r w:rsidR="007415F7">
        <w:rPr>
          <w:rFonts w:ascii="仿宋_GB2312" w:eastAsia="仿宋_GB2312" w:hAnsi="仿宋_GB2312" w:cs="仿宋_GB2312" w:hint="eastAsia"/>
          <w:color w:val="333333"/>
          <w:sz w:val="32"/>
          <w:szCs w:val="32"/>
          <w:shd w:val="clear" w:color="auto" w:fill="FFFFFF"/>
        </w:rPr>
        <w:t>2.8</w:t>
      </w:r>
      <w:r>
        <w:rPr>
          <w:rFonts w:ascii="仿宋_GB2312" w:eastAsia="仿宋_GB2312" w:hAnsi="仿宋_GB2312" w:cs="仿宋_GB2312" w:hint="eastAsia"/>
          <w:color w:val="333333"/>
          <w:sz w:val="32"/>
          <w:szCs w:val="32"/>
          <w:shd w:val="clear" w:color="auto" w:fill="FFFFFF"/>
        </w:rPr>
        <w:t>万元，开支一般公共预算财政拨款的公务用车保有量为</w:t>
      </w:r>
      <w:r>
        <w:rPr>
          <w:rFonts w:ascii="仿宋_GB2312" w:eastAsia="仿宋_GB2312" w:hAnsi="仿宋_GB2312" w:cs="仿宋_GB2312" w:hint="eastAsia"/>
          <w:color w:val="333333"/>
          <w:sz w:val="32"/>
          <w:szCs w:val="32"/>
          <w:shd w:val="clear" w:color="auto" w:fill="FFFFFF"/>
        </w:rPr>
        <w:t>2</w:t>
      </w:r>
      <w:r>
        <w:rPr>
          <w:rFonts w:ascii="仿宋_GB2312" w:eastAsia="仿宋_GB2312" w:hAnsi="仿宋_GB2312" w:cs="仿宋_GB2312" w:hint="eastAsia"/>
          <w:color w:val="333333"/>
          <w:sz w:val="32"/>
          <w:szCs w:val="32"/>
          <w:shd w:val="clear" w:color="auto" w:fill="FFFFFF"/>
        </w:rPr>
        <w:t>辆。主要用于开公务接待工作所需车辆燃料费、维修费、过路过桥费、保险费等。</w:t>
      </w:r>
    </w:p>
    <w:p w:rsidR="00F17834">
      <w:pPr>
        <w:pStyle w:val="NormalWeb"/>
        <w:widowControl/>
        <w:numPr>
          <w:ilvl w:val="0"/>
          <w:numId w:val="1"/>
        </w:numPr>
        <w:shd w:val="clear" w:color="auto" w:fill="FFFFFF"/>
        <w:spacing w:before="105" w:beforeAutospacing="0" w:after="105" w:afterAutospacing="0" w:line="360" w:lineRule="atLeast"/>
        <w:ind w:firstLine="600"/>
        <w:rPr>
          <w:rFonts w:ascii="仿宋_GB2312" w:eastAsia="仿宋_GB2312" w:hAnsi="仿宋_GB2312" w:cs="仿宋_GB2312"/>
          <w:color w:val="000000"/>
          <w:sz w:val="32"/>
          <w:szCs w:val="32"/>
        </w:rPr>
      </w:pPr>
      <w:r>
        <w:rPr>
          <w:rStyle w:val="Strong"/>
          <w:rFonts w:ascii="仿宋_GB2312" w:eastAsia="仿宋_GB2312" w:hAnsi="仿宋_GB2312" w:cs="仿宋_GB2312" w:hint="eastAsia"/>
          <w:b w:val="0"/>
          <w:color w:val="333333"/>
          <w:sz w:val="32"/>
          <w:szCs w:val="32"/>
          <w:shd w:val="clear" w:color="auto" w:fill="FFFFFF"/>
        </w:rPr>
        <w:t>公务接待费</w:t>
      </w:r>
      <w:r>
        <w:rPr>
          <w:rFonts w:ascii="仿宋_GB2312" w:eastAsia="仿宋_GB2312" w:hAnsi="仿宋_GB2312" w:cs="仿宋_GB2312" w:hint="eastAsia"/>
          <w:color w:val="333333"/>
          <w:sz w:val="32"/>
          <w:szCs w:val="32"/>
          <w:shd w:val="clear" w:color="auto" w:fill="FFFFFF"/>
        </w:rPr>
        <w:t>支出</w:t>
      </w:r>
      <w:r>
        <w:rPr>
          <w:rFonts w:ascii="仿宋_GB2312" w:eastAsia="仿宋_GB2312" w:hAnsi="仿宋_GB2312" w:cs="仿宋_GB2312" w:hint="eastAsia"/>
          <w:color w:val="333333"/>
          <w:sz w:val="32"/>
          <w:szCs w:val="32"/>
          <w:shd w:val="clear" w:color="auto" w:fill="FFFFFF"/>
        </w:rPr>
        <w:t xml:space="preserve">0.5 </w:t>
      </w:r>
      <w:r>
        <w:rPr>
          <w:rFonts w:ascii="仿宋_GB2312" w:eastAsia="仿宋_GB2312" w:hAnsi="仿宋_GB2312" w:cs="仿宋_GB2312" w:hint="eastAsia"/>
          <w:color w:val="333333"/>
          <w:sz w:val="32"/>
          <w:szCs w:val="32"/>
          <w:shd w:val="clear" w:color="auto" w:fill="FFFFFF"/>
        </w:rPr>
        <w:t>万元。其中：</w:t>
      </w:r>
      <w:r>
        <w:rPr>
          <w:rFonts w:ascii="仿宋_GB2312" w:eastAsia="仿宋_GB2312" w:hAnsi="仿宋_GB2312" w:cs="仿宋_GB2312" w:hint="eastAsia"/>
          <w:color w:val="000000"/>
          <w:sz w:val="32"/>
          <w:szCs w:val="32"/>
        </w:rPr>
        <w:t>2018</w:t>
      </w:r>
      <w:r>
        <w:rPr>
          <w:rFonts w:ascii="仿宋_GB2312" w:eastAsia="仿宋_GB2312" w:hAnsi="仿宋_GB2312" w:cs="仿宋_GB2312" w:hint="eastAsia"/>
          <w:color w:val="000000"/>
          <w:sz w:val="32"/>
          <w:szCs w:val="32"/>
        </w:rPr>
        <w:t>年共完成接待任务</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批，</w:t>
      </w:r>
      <w:r>
        <w:rPr>
          <w:rFonts w:ascii="仿宋_GB2312" w:eastAsia="仿宋_GB2312" w:hAnsi="仿宋_GB2312" w:cs="仿宋_GB2312" w:hint="eastAsia"/>
          <w:color w:val="000000"/>
          <w:sz w:val="32"/>
          <w:szCs w:val="32"/>
        </w:rPr>
        <w:t>32</w:t>
      </w:r>
      <w:r>
        <w:rPr>
          <w:rFonts w:ascii="仿宋_GB2312" w:eastAsia="仿宋_GB2312" w:hAnsi="仿宋_GB2312" w:cs="仿宋_GB2312" w:hint="eastAsia"/>
          <w:color w:val="000000"/>
          <w:sz w:val="32"/>
          <w:szCs w:val="32"/>
        </w:rPr>
        <w:t>人次。较上年接待费</w:t>
      </w:r>
      <w:r>
        <w:rPr>
          <w:rFonts w:ascii="仿宋_GB2312" w:eastAsia="仿宋_GB2312" w:hAnsi="仿宋_GB2312" w:cs="仿宋_GB2312" w:hint="eastAsia"/>
          <w:color w:val="000000"/>
          <w:sz w:val="32"/>
          <w:szCs w:val="32"/>
        </w:rPr>
        <w:t>0.7</w:t>
      </w:r>
      <w:r>
        <w:rPr>
          <w:rFonts w:ascii="仿宋_GB2312" w:eastAsia="仿宋_GB2312" w:hAnsi="仿宋_GB2312" w:cs="仿宋_GB2312" w:hint="eastAsia"/>
          <w:color w:val="000000"/>
          <w:sz w:val="32"/>
          <w:szCs w:val="32"/>
        </w:rPr>
        <w:t>万元减少了</w:t>
      </w:r>
      <w:r>
        <w:rPr>
          <w:rFonts w:ascii="仿宋_GB2312" w:eastAsia="仿宋_GB2312" w:hAnsi="仿宋_GB2312" w:cs="仿宋_GB2312" w:hint="eastAsia"/>
          <w:color w:val="000000"/>
          <w:sz w:val="32"/>
          <w:szCs w:val="32"/>
        </w:rPr>
        <w:t>29</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，减少原因是我局执行中央八项规定，履行节约原则。</w:t>
      </w:r>
    </w:p>
    <w:p w:rsidR="00F17834">
      <w:pPr>
        <w:jc w:val="center"/>
        <w:rPr>
          <w:rFonts w:asciiTheme="minorEastAsia" w:hAnsiTheme="minorEastAsia" w:cstheme="minorEastAsia"/>
          <w:bCs/>
          <w:szCs w:val="21"/>
        </w:rPr>
      </w:pPr>
      <w:r>
        <w:rPr>
          <w:rFonts w:asciiTheme="minorEastAsia" w:hAnsiTheme="minorEastAsia" w:cstheme="minorEastAsia" w:hint="eastAsia"/>
          <w:bCs/>
          <w:szCs w:val="21"/>
        </w:rPr>
        <w:t>迪庆国土资源局“三公”</w:t>
      </w:r>
    </w:p>
    <w:p w:rsidR="00F17834">
      <w:pPr>
        <w:jc w:val="center"/>
        <w:rPr>
          <w:rFonts w:asciiTheme="minorEastAsia" w:hAnsiTheme="minorEastAsia" w:cstheme="minorEastAsia"/>
          <w:bCs/>
          <w:szCs w:val="21"/>
        </w:rPr>
      </w:pPr>
      <w:r>
        <w:rPr>
          <w:rFonts w:asciiTheme="minorEastAsia" w:hAnsiTheme="minorEastAsia" w:cstheme="minorEastAsia" w:hint="eastAsia"/>
          <w:bCs/>
          <w:szCs w:val="21"/>
        </w:rPr>
        <w:t>经费决算数对比情况表</w:t>
      </w:r>
    </w:p>
    <w:tbl>
      <w:tblPr>
        <w:tblW w:w="8160" w:type="dxa"/>
        <w:tblInd w:w="93" w:type="dxa"/>
        <w:tblLayout w:type="fixed"/>
        <w:tblLook w:val="04A0"/>
      </w:tblPr>
      <w:tblGrid>
        <w:gridCol w:w="3216"/>
        <w:gridCol w:w="984"/>
        <w:gridCol w:w="1320"/>
        <w:gridCol w:w="1320"/>
        <w:gridCol w:w="1320"/>
      </w:tblGrid>
      <w:tr>
        <w:tblPrEx>
          <w:tblW w:w="8160" w:type="dxa"/>
          <w:tblInd w:w="93" w:type="dxa"/>
          <w:tblLayout w:type="fixed"/>
          <w:tblLook w:val="04A0"/>
        </w:tblPrEx>
        <w:trPr>
          <w:trHeight w:val="450"/>
        </w:trPr>
        <w:tc>
          <w:tcPr>
            <w:tcW w:w="3216" w:type="dxa"/>
            <w:tcBorders>
              <w:top w:val="nil"/>
              <w:left w:val="nil"/>
              <w:bottom w:val="nil"/>
              <w:right w:val="nil"/>
            </w:tcBorders>
            <w:shd w:val="clear" w:color="auto" w:fill="auto"/>
            <w:vAlign w:val="bottom"/>
          </w:tcPr>
          <w:p w:rsidR="00F17834">
            <w:pPr>
              <w:widowControl/>
              <w:jc w:val="left"/>
              <w:rPr>
                <w:rFonts w:asciiTheme="minorEastAsia" w:hAnsiTheme="minorEastAsia" w:cstheme="minorEastAsia"/>
                <w:color w:val="000000"/>
                <w:kern w:val="0"/>
                <w:szCs w:val="21"/>
              </w:rPr>
            </w:pPr>
          </w:p>
          <w:p w:rsidR="00F17834">
            <w:pPr>
              <w:widowControl/>
              <w:jc w:val="left"/>
              <w:rPr>
                <w:rFonts w:asciiTheme="minorEastAsia" w:hAnsiTheme="minorEastAsia" w:cstheme="minorEastAsia"/>
                <w:color w:val="000000"/>
                <w:kern w:val="0"/>
                <w:szCs w:val="21"/>
              </w:rPr>
            </w:pPr>
          </w:p>
        </w:tc>
        <w:tc>
          <w:tcPr>
            <w:tcW w:w="984" w:type="dxa"/>
            <w:tcBorders>
              <w:top w:val="nil"/>
              <w:left w:val="nil"/>
              <w:bottom w:val="nil"/>
              <w:right w:val="nil"/>
            </w:tcBorders>
            <w:shd w:val="clear" w:color="auto" w:fill="auto"/>
            <w:vAlign w:val="center"/>
          </w:tcPr>
          <w:p w:rsidR="00F17834">
            <w:pPr>
              <w:widowControl/>
              <w:jc w:val="right"/>
              <w:rPr>
                <w:rFonts w:asciiTheme="minorEastAsia" w:hAnsiTheme="minorEastAsia" w:cstheme="minorEastAsia"/>
                <w:color w:val="000000"/>
                <w:kern w:val="0"/>
                <w:szCs w:val="21"/>
              </w:rPr>
            </w:pPr>
          </w:p>
        </w:tc>
        <w:tc>
          <w:tcPr>
            <w:tcW w:w="1320" w:type="dxa"/>
            <w:tcBorders>
              <w:top w:val="nil"/>
              <w:left w:val="nil"/>
              <w:bottom w:val="nil"/>
              <w:right w:val="nil"/>
            </w:tcBorders>
            <w:shd w:val="clear" w:color="auto" w:fill="auto"/>
            <w:vAlign w:val="center"/>
          </w:tcPr>
          <w:p w:rsidR="00F17834">
            <w:pPr>
              <w:widowControl/>
              <w:jc w:val="right"/>
              <w:rPr>
                <w:rFonts w:asciiTheme="minorEastAsia" w:hAnsiTheme="minorEastAsia" w:cstheme="minorEastAsia"/>
                <w:color w:val="000000"/>
                <w:kern w:val="0"/>
                <w:szCs w:val="21"/>
              </w:rPr>
            </w:pPr>
          </w:p>
        </w:tc>
        <w:tc>
          <w:tcPr>
            <w:tcW w:w="1320" w:type="dxa"/>
            <w:tcBorders>
              <w:top w:val="nil"/>
              <w:left w:val="nil"/>
              <w:bottom w:val="nil"/>
              <w:right w:val="nil"/>
            </w:tcBorders>
            <w:shd w:val="clear" w:color="auto" w:fill="auto"/>
            <w:vAlign w:val="center"/>
          </w:tcPr>
          <w:p w:rsidR="00F17834">
            <w:pPr>
              <w:widowControl/>
              <w:jc w:val="right"/>
              <w:rPr>
                <w:rFonts w:asciiTheme="minorEastAsia" w:hAnsiTheme="minorEastAsia" w:cstheme="minorEastAsia"/>
                <w:color w:val="000000"/>
                <w:kern w:val="0"/>
                <w:szCs w:val="21"/>
              </w:rPr>
            </w:pPr>
          </w:p>
        </w:tc>
        <w:tc>
          <w:tcPr>
            <w:tcW w:w="1320" w:type="dxa"/>
            <w:tcBorders>
              <w:top w:val="nil"/>
              <w:left w:val="nil"/>
              <w:bottom w:val="nil"/>
              <w:right w:val="nil"/>
            </w:tcBorders>
            <w:shd w:val="clear" w:color="auto" w:fill="auto"/>
            <w:vAlign w:val="center"/>
          </w:tcPr>
          <w:p w:rsidR="00F17834">
            <w:pPr>
              <w:widowControl/>
              <w:jc w:val="righ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单位：万元</w:t>
            </w:r>
          </w:p>
        </w:tc>
      </w:tr>
      <w:tr>
        <w:tblPrEx>
          <w:tblW w:w="8160" w:type="dxa"/>
          <w:tblInd w:w="93" w:type="dxa"/>
          <w:tblLayout w:type="fixed"/>
          <w:tblLook w:val="04A0"/>
        </w:tblPrEx>
        <w:trPr>
          <w:trHeight w:val="615"/>
        </w:trPr>
        <w:tc>
          <w:tcPr>
            <w:tcW w:w="32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项</w:t>
            </w:r>
            <w:r>
              <w:rPr>
                <w:rFonts w:asciiTheme="minorEastAsia" w:hAnsiTheme="minorEastAsia" w:cstheme="minorEastAsia" w:hint="eastAsia"/>
                <w:color w:val="000000"/>
                <w:kern w:val="0"/>
                <w:szCs w:val="21"/>
              </w:rPr>
              <w:t xml:space="preserve">  </w:t>
            </w:r>
            <w:r>
              <w:rPr>
                <w:rFonts w:asciiTheme="minorEastAsia" w:hAnsiTheme="minorEastAsia" w:cstheme="minorEastAsia" w:hint="eastAsia"/>
                <w:color w:val="000000"/>
                <w:kern w:val="0"/>
                <w:szCs w:val="21"/>
              </w:rPr>
              <w:t>目</w:t>
            </w:r>
          </w:p>
        </w:tc>
        <w:tc>
          <w:tcPr>
            <w:tcW w:w="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上年</w:t>
            </w:r>
          </w:p>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决算数</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本年</w:t>
            </w:r>
          </w:p>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决算数</w:t>
            </w:r>
          </w:p>
        </w:tc>
        <w:tc>
          <w:tcPr>
            <w:tcW w:w="2640" w:type="dxa"/>
            <w:gridSpan w:val="2"/>
            <w:tcBorders>
              <w:top w:val="single" w:sz="4" w:space="0" w:color="auto"/>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较上年增减情况</w:t>
            </w:r>
          </w:p>
        </w:tc>
      </w:tr>
      <w:tr>
        <w:tblPrEx>
          <w:tblW w:w="8160" w:type="dxa"/>
          <w:tblInd w:w="93" w:type="dxa"/>
          <w:tblLayout w:type="fixed"/>
          <w:tblLook w:val="04A0"/>
        </w:tblPrEx>
        <w:trPr>
          <w:trHeight w:val="450"/>
        </w:trPr>
        <w:tc>
          <w:tcPr>
            <w:tcW w:w="3216" w:type="dxa"/>
            <w:vMerge/>
            <w:tcBorders>
              <w:top w:val="single" w:sz="4" w:space="0" w:color="auto"/>
              <w:left w:val="single" w:sz="4" w:space="0" w:color="auto"/>
              <w:bottom w:val="single" w:sz="4" w:space="0" w:color="auto"/>
              <w:right w:val="single" w:sz="4" w:space="0" w:color="auto"/>
            </w:tcBorders>
            <w:vAlign w:val="center"/>
          </w:tcPr>
          <w:p w:rsidR="00F17834">
            <w:pPr>
              <w:widowControl/>
              <w:jc w:val="center"/>
              <w:rPr>
                <w:rFonts w:asciiTheme="minorEastAsia" w:hAnsiTheme="minorEastAsia" w:cstheme="minorEastAsia"/>
                <w:color w:val="000000"/>
                <w:kern w:val="0"/>
                <w:szCs w:val="21"/>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F17834">
            <w:pPr>
              <w:widowControl/>
              <w:jc w:val="center"/>
              <w:rPr>
                <w:rFonts w:asciiTheme="minorEastAsia" w:hAnsiTheme="minorEastAsia" w:cstheme="minorEastAsia"/>
                <w:color w:val="000000"/>
                <w:kern w:val="0"/>
                <w:szCs w:val="21"/>
              </w:rPr>
            </w:pPr>
          </w:p>
        </w:tc>
        <w:tc>
          <w:tcPr>
            <w:tcW w:w="1320" w:type="dxa"/>
            <w:vMerge/>
            <w:tcBorders>
              <w:top w:val="single" w:sz="4" w:space="0" w:color="auto"/>
              <w:left w:val="single" w:sz="4" w:space="0" w:color="auto"/>
              <w:bottom w:val="single" w:sz="4" w:space="0" w:color="000000"/>
              <w:right w:val="single" w:sz="4" w:space="0" w:color="auto"/>
            </w:tcBorders>
            <w:vAlign w:val="center"/>
          </w:tcPr>
          <w:p w:rsidR="00F17834">
            <w:pPr>
              <w:widowControl/>
              <w:jc w:val="center"/>
              <w:rPr>
                <w:rFonts w:asciiTheme="minorEastAsia" w:hAnsiTheme="minorEastAsia" w:cstheme="minorEastAsia"/>
                <w:color w:val="000000"/>
                <w:kern w:val="0"/>
                <w:szCs w:val="21"/>
              </w:rPr>
            </w:pP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增、减额</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增、减幅度</w:t>
            </w:r>
          </w:p>
        </w:tc>
      </w:tr>
      <w:tr>
        <w:tblPrEx>
          <w:tblW w:w="8160" w:type="dxa"/>
          <w:tblInd w:w="93" w:type="dxa"/>
          <w:tblLayout w:type="fixed"/>
          <w:tblLook w:val="04A0"/>
        </w:tblPrEx>
        <w:trPr>
          <w:trHeight w:val="450"/>
        </w:trPr>
        <w:tc>
          <w:tcPr>
            <w:tcW w:w="3216" w:type="dxa"/>
            <w:tcBorders>
              <w:top w:val="nil"/>
              <w:left w:val="single" w:sz="4" w:space="0" w:color="auto"/>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合</w:t>
            </w:r>
            <w:r>
              <w:rPr>
                <w:rFonts w:asciiTheme="minorEastAsia" w:hAnsiTheme="minorEastAsia" w:cstheme="minorEastAsia" w:hint="eastAsia"/>
                <w:color w:val="000000"/>
                <w:kern w:val="0"/>
                <w:szCs w:val="21"/>
              </w:rPr>
              <w:t xml:space="preserve">  </w:t>
            </w:r>
            <w:r>
              <w:rPr>
                <w:rFonts w:asciiTheme="minorEastAsia" w:hAnsiTheme="minorEastAsia" w:cstheme="minorEastAsia" w:hint="eastAsia"/>
                <w:color w:val="000000"/>
                <w:kern w:val="0"/>
                <w:szCs w:val="21"/>
              </w:rPr>
              <w:t>计</w:t>
            </w:r>
          </w:p>
        </w:tc>
        <w:tc>
          <w:tcPr>
            <w:tcW w:w="984"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4.1</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3.3</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w:t>
            </w:r>
            <w:r>
              <w:rPr>
                <w:rFonts w:asciiTheme="minorEastAsia" w:hAnsiTheme="minorEastAsia" w:cstheme="minorEastAsia" w:hint="eastAsia"/>
                <w:color w:val="000000"/>
                <w:kern w:val="0"/>
                <w:szCs w:val="21"/>
              </w:rPr>
              <w:t>0.</w:t>
            </w:r>
            <w:r w:rsidR="00C44512">
              <w:rPr>
                <w:rFonts w:asciiTheme="minorEastAsia" w:hAnsiTheme="minorEastAsia" w:cstheme="minorEastAsia" w:hint="eastAsia"/>
                <w:color w:val="000000"/>
                <w:kern w:val="0"/>
                <w:szCs w:val="21"/>
              </w:rPr>
              <w:t>8</w:t>
            </w:r>
          </w:p>
        </w:tc>
        <w:tc>
          <w:tcPr>
            <w:tcW w:w="1320" w:type="dxa"/>
            <w:tcBorders>
              <w:top w:val="nil"/>
              <w:left w:val="nil"/>
              <w:bottom w:val="single" w:sz="4" w:space="0" w:color="auto"/>
              <w:right w:val="single" w:sz="4" w:space="0" w:color="auto"/>
            </w:tcBorders>
            <w:shd w:val="clear" w:color="auto" w:fill="auto"/>
            <w:vAlign w:val="center"/>
          </w:tcPr>
          <w:p w:rsidR="00F17834" w:rsidP="00C44512">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w:t>
            </w:r>
            <w:r w:rsidR="00C44512">
              <w:rPr>
                <w:rFonts w:asciiTheme="minorEastAsia" w:hAnsiTheme="minorEastAsia" w:cstheme="minorEastAsia" w:hint="eastAsia"/>
                <w:color w:val="000000"/>
                <w:kern w:val="0"/>
                <w:szCs w:val="21"/>
              </w:rPr>
              <w:t>20</w:t>
            </w:r>
            <w:r>
              <w:rPr>
                <w:rFonts w:asciiTheme="minorEastAsia" w:hAnsiTheme="minorEastAsia" w:cstheme="minorEastAsia" w:hint="eastAsia"/>
                <w:color w:val="000000"/>
                <w:kern w:val="0"/>
                <w:szCs w:val="21"/>
              </w:rPr>
              <w:t>%</w:t>
            </w:r>
          </w:p>
        </w:tc>
      </w:tr>
      <w:tr>
        <w:tblPrEx>
          <w:tblW w:w="8160" w:type="dxa"/>
          <w:tblInd w:w="93" w:type="dxa"/>
          <w:tblLayout w:type="fixed"/>
          <w:tblLook w:val="04A0"/>
        </w:tblPrEx>
        <w:trPr>
          <w:trHeight w:val="450"/>
        </w:trPr>
        <w:tc>
          <w:tcPr>
            <w:tcW w:w="3216" w:type="dxa"/>
            <w:tcBorders>
              <w:top w:val="nil"/>
              <w:left w:val="single" w:sz="4" w:space="0" w:color="auto"/>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w:t>
            </w:r>
            <w:r>
              <w:rPr>
                <w:rFonts w:asciiTheme="minorEastAsia" w:hAnsiTheme="minorEastAsia" w:cstheme="minorEastAsia" w:hint="eastAsia"/>
                <w:color w:val="000000"/>
                <w:kern w:val="0"/>
                <w:szCs w:val="21"/>
              </w:rPr>
              <w:t>、因公出国（境）费</w:t>
            </w:r>
          </w:p>
        </w:tc>
        <w:tc>
          <w:tcPr>
            <w:tcW w:w="984"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0</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0</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-100</w:t>
            </w:r>
            <w:r>
              <w:rPr>
                <w:rFonts w:asciiTheme="minorEastAsia" w:hAnsiTheme="minorEastAsia" w:cstheme="minorEastAsia" w:hint="eastAsia"/>
                <w:color w:val="000000"/>
                <w:kern w:val="0"/>
                <w:szCs w:val="21"/>
              </w:rPr>
              <w:t>%</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-100%</w:t>
            </w:r>
          </w:p>
        </w:tc>
      </w:tr>
      <w:tr>
        <w:tblPrEx>
          <w:tblW w:w="8160" w:type="dxa"/>
          <w:tblInd w:w="93" w:type="dxa"/>
          <w:tblLayout w:type="fixed"/>
          <w:tblLook w:val="04A0"/>
        </w:tblPrEx>
        <w:trPr>
          <w:trHeight w:val="450"/>
        </w:trPr>
        <w:tc>
          <w:tcPr>
            <w:tcW w:w="3216" w:type="dxa"/>
            <w:tcBorders>
              <w:top w:val="nil"/>
              <w:left w:val="single" w:sz="4" w:space="0" w:color="auto"/>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w:t>
            </w:r>
            <w:r>
              <w:rPr>
                <w:rFonts w:asciiTheme="minorEastAsia" w:hAnsiTheme="minorEastAsia" w:cstheme="minorEastAsia" w:hint="eastAsia"/>
                <w:color w:val="000000"/>
                <w:kern w:val="0"/>
                <w:szCs w:val="21"/>
              </w:rPr>
              <w:t>、公务接待费</w:t>
            </w:r>
          </w:p>
        </w:tc>
        <w:tc>
          <w:tcPr>
            <w:tcW w:w="984"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0.7</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0.5</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w:t>
            </w:r>
            <w:r>
              <w:rPr>
                <w:rFonts w:asciiTheme="minorEastAsia" w:hAnsiTheme="minorEastAsia" w:cstheme="minorEastAsia" w:hint="eastAsia"/>
                <w:color w:val="000000"/>
                <w:kern w:val="0"/>
                <w:szCs w:val="21"/>
              </w:rPr>
              <w:t>0.2</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w:t>
            </w:r>
            <w:r>
              <w:rPr>
                <w:rFonts w:asciiTheme="minorEastAsia" w:hAnsiTheme="minorEastAsia" w:cstheme="minorEastAsia" w:hint="eastAsia"/>
                <w:color w:val="000000"/>
                <w:kern w:val="0"/>
                <w:szCs w:val="21"/>
              </w:rPr>
              <w:t>29%</w:t>
            </w:r>
          </w:p>
        </w:tc>
      </w:tr>
      <w:tr>
        <w:tblPrEx>
          <w:tblW w:w="8160" w:type="dxa"/>
          <w:tblInd w:w="93" w:type="dxa"/>
          <w:tblLayout w:type="fixed"/>
          <w:tblLook w:val="04A0"/>
        </w:tblPrEx>
        <w:trPr>
          <w:trHeight w:val="450"/>
        </w:trPr>
        <w:tc>
          <w:tcPr>
            <w:tcW w:w="3216" w:type="dxa"/>
            <w:tcBorders>
              <w:top w:val="nil"/>
              <w:left w:val="single" w:sz="4" w:space="0" w:color="auto"/>
              <w:bottom w:val="single" w:sz="4" w:space="0" w:color="auto"/>
              <w:right w:val="single" w:sz="4" w:space="0" w:color="auto"/>
            </w:tcBorders>
            <w:shd w:val="clear" w:color="auto" w:fill="auto"/>
            <w:vAlign w:val="center"/>
          </w:tcPr>
          <w:p w:rsidR="00F17834">
            <w:pPr>
              <w:widowControl/>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 xml:space="preserve">  3</w:t>
            </w:r>
            <w:r>
              <w:rPr>
                <w:rFonts w:asciiTheme="minorEastAsia" w:hAnsiTheme="minorEastAsia" w:cstheme="minorEastAsia" w:hint="eastAsia"/>
                <w:color w:val="000000"/>
                <w:kern w:val="0"/>
                <w:szCs w:val="21"/>
              </w:rPr>
              <w:t>、公务用车费</w:t>
            </w:r>
          </w:p>
        </w:tc>
        <w:tc>
          <w:tcPr>
            <w:tcW w:w="984"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3.4</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2.8</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w:t>
            </w:r>
            <w:r>
              <w:rPr>
                <w:rFonts w:asciiTheme="minorEastAsia" w:hAnsiTheme="minorEastAsia" w:cstheme="minorEastAsia" w:hint="eastAsia"/>
                <w:color w:val="000000"/>
                <w:kern w:val="0"/>
                <w:szCs w:val="21"/>
              </w:rPr>
              <w:t>0.</w:t>
            </w:r>
            <w:r w:rsidR="00C44512">
              <w:rPr>
                <w:rFonts w:asciiTheme="minorEastAsia" w:hAnsiTheme="minorEastAsia" w:cstheme="minorEastAsia" w:hint="eastAsia"/>
                <w:color w:val="000000"/>
                <w:kern w:val="0"/>
                <w:szCs w:val="21"/>
              </w:rPr>
              <w:t>6</w:t>
            </w:r>
          </w:p>
        </w:tc>
        <w:tc>
          <w:tcPr>
            <w:tcW w:w="1320" w:type="dxa"/>
            <w:tcBorders>
              <w:top w:val="nil"/>
              <w:left w:val="nil"/>
              <w:bottom w:val="single" w:sz="4" w:space="0" w:color="auto"/>
              <w:right w:val="single" w:sz="4" w:space="0" w:color="auto"/>
            </w:tcBorders>
            <w:shd w:val="clear" w:color="auto" w:fill="auto"/>
            <w:vAlign w:val="center"/>
          </w:tcPr>
          <w:p w:rsidR="00F17834" w:rsidP="00C44512">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w:t>
            </w:r>
            <w:r>
              <w:rPr>
                <w:rFonts w:asciiTheme="minorEastAsia" w:hAnsiTheme="minorEastAsia" w:cstheme="minorEastAsia" w:hint="eastAsia"/>
                <w:color w:val="000000"/>
                <w:kern w:val="0"/>
                <w:szCs w:val="21"/>
              </w:rPr>
              <w:t>1</w:t>
            </w:r>
            <w:r w:rsidR="00C44512">
              <w:rPr>
                <w:rFonts w:asciiTheme="minorEastAsia" w:hAnsiTheme="minorEastAsia" w:cstheme="minorEastAsia" w:hint="eastAsia"/>
                <w:color w:val="000000"/>
                <w:kern w:val="0"/>
                <w:szCs w:val="21"/>
              </w:rPr>
              <w:t>8</w:t>
            </w:r>
            <w:r>
              <w:rPr>
                <w:rFonts w:asciiTheme="minorEastAsia" w:hAnsiTheme="minorEastAsia" w:cstheme="minorEastAsia" w:hint="eastAsia"/>
                <w:color w:val="000000"/>
                <w:kern w:val="0"/>
                <w:szCs w:val="21"/>
              </w:rPr>
              <w:t>%</w:t>
            </w:r>
          </w:p>
        </w:tc>
      </w:tr>
      <w:tr>
        <w:tblPrEx>
          <w:tblW w:w="8160" w:type="dxa"/>
          <w:tblInd w:w="93" w:type="dxa"/>
          <w:tblLayout w:type="fixed"/>
          <w:tblLook w:val="04A0"/>
        </w:tblPrEx>
        <w:trPr>
          <w:trHeight w:val="450"/>
        </w:trPr>
        <w:tc>
          <w:tcPr>
            <w:tcW w:w="3216" w:type="dxa"/>
            <w:tcBorders>
              <w:top w:val="nil"/>
              <w:left w:val="single" w:sz="4" w:space="0" w:color="auto"/>
              <w:bottom w:val="single" w:sz="4" w:space="0" w:color="auto"/>
              <w:right w:val="single" w:sz="4" w:space="0" w:color="auto"/>
            </w:tcBorders>
            <w:shd w:val="clear" w:color="auto" w:fill="auto"/>
            <w:vAlign w:val="center"/>
          </w:tcPr>
          <w:p w:rsidR="00F17834">
            <w:pPr>
              <w:widowControl/>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 xml:space="preserve">    </w:t>
            </w:r>
            <w:r>
              <w:rPr>
                <w:rFonts w:asciiTheme="minorEastAsia" w:hAnsiTheme="minorEastAsia" w:cstheme="minorEastAsia" w:hint="eastAsia"/>
                <w:color w:val="000000"/>
                <w:kern w:val="0"/>
                <w:szCs w:val="21"/>
              </w:rPr>
              <w:t>其中：（</w:t>
            </w:r>
            <w:r>
              <w:rPr>
                <w:rFonts w:asciiTheme="minorEastAsia" w:hAnsiTheme="minorEastAsia" w:cstheme="minorEastAsia" w:hint="eastAsia"/>
                <w:color w:val="000000"/>
                <w:kern w:val="0"/>
                <w:szCs w:val="21"/>
              </w:rPr>
              <w:t>1</w:t>
            </w:r>
            <w:r>
              <w:rPr>
                <w:rFonts w:asciiTheme="minorEastAsia" w:hAnsiTheme="minorEastAsia" w:cstheme="minorEastAsia" w:hint="eastAsia"/>
                <w:color w:val="000000"/>
                <w:kern w:val="0"/>
                <w:szCs w:val="21"/>
              </w:rPr>
              <w:t>）公务用车购置</w:t>
            </w:r>
          </w:p>
        </w:tc>
        <w:tc>
          <w:tcPr>
            <w:tcW w:w="984"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0</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0</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0</w:t>
            </w:r>
          </w:p>
        </w:tc>
        <w:tc>
          <w:tcPr>
            <w:tcW w:w="1320" w:type="dxa"/>
            <w:tcBorders>
              <w:top w:val="nil"/>
              <w:left w:val="nil"/>
              <w:bottom w:val="single" w:sz="4" w:space="0" w:color="auto"/>
              <w:right w:val="single" w:sz="4" w:space="0" w:color="auto"/>
            </w:tcBorders>
            <w:shd w:val="clear" w:color="auto" w:fill="auto"/>
            <w:vAlign w:val="center"/>
          </w:tcPr>
          <w:p w:rsidR="00F17834">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0</w:t>
            </w:r>
          </w:p>
        </w:tc>
      </w:tr>
      <w:tr w:rsidTr="00CC5830">
        <w:tblPrEx>
          <w:tblW w:w="8160" w:type="dxa"/>
          <w:tblInd w:w="93" w:type="dxa"/>
          <w:tblLayout w:type="fixed"/>
          <w:tblLook w:val="04A0"/>
        </w:tblPrEx>
        <w:trPr>
          <w:trHeight w:val="585"/>
        </w:trPr>
        <w:tc>
          <w:tcPr>
            <w:tcW w:w="3216" w:type="dxa"/>
            <w:tcBorders>
              <w:top w:val="nil"/>
              <w:left w:val="single" w:sz="4" w:space="0" w:color="auto"/>
              <w:bottom w:val="single" w:sz="4" w:space="0" w:color="auto"/>
              <w:right w:val="single" w:sz="4" w:space="0" w:color="auto"/>
            </w:tcBorders>
            <w:shd w:val="clear" w:color="auto" w:fill="auto"/>
            <w:vAlign w:val="center"/>
          </w:tcPr>
          <w:p w:rsidR="00C44512">
            <w:pPr>
              <w:widowControl/>
              <w:ind w:left="1155" w:hanging="105" w:leftChars="500" w:hangingChars="50"/>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（2）公务用车运行维护费</w:t>
            </w:r>
          </w:p>
        </w:tc>
        <w:tc>
          <w:tcPr>
            <w:tcW w:w="984" w:type="dxa"/>
            <w:tcBorders>
              <w:top w:val="nil"/>
              <w:left w:val="nil"/>
              <w:bottom w:val="single" w:sz="4" w:space="0" w:color="auto"/>
              <w:right w:val="single" w:sz="4" w:space="0" w:color="auto"/>
            </w:tcBorders>
            <w:shd w:val="clear" w:color="auto" w:fill="auto"/>
            <w:vAlign w:val="center"/>
          </w:tcPr>
          <w:p w:rsidR="00C44512" w:rsidP="00FE13F8">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3.4</w:t>
            </w:r>
          </w:p>
        </w:tc>
        <w:tc>
          <w:tcPr>
            <w:tcW w:w="1320" w:type="dxa"/>
            <w:tcBorders>
              <w:top w:val="nil"/>
              <w:left w:val="nil"/>
              <w:bottom w:val="single" w:sz="4" w:space="0" w:color="auto"/>
              <w:right w:val="single" w:sz="4" w:space="0" w:color="auto"/>
            </w:tcBorders>
            <w:shd w:val="clear" w:color="auto" w:fill="auto"/>
            <w:vAlign w:val="center"/>
          </w:tcPr>
          <w:p w:rsidR="00C44512" w:rsidP="00FE13F8">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2.8</w:t>
            </w:r>
          </w:p>
        </w:tc>
        <w:tc>
          <w:tcPr>
            <w:tcW w:w="1320" w:type="dxa"/>
            <w:tcBorders>
              <w:top w:val="nil"/>
              <w:left w:val="nil"/>
              <w:bottom w:val="single" w:sz="4" w:space="0" w:color="auto"/>
              <w:right w:val="single" w:sz="4" w:space="0" w:color="auto"/>
            </w:tcBorders>
            <w:shd w:val="clear" w:color="auto" w:fill="auto"/>
            <w:vAlign w:val="center"/>
          </w:tcPr>
          <w:p w:rsidR="00C44512" w:rsidP="00FE13F8">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-0.6</w:t>
            </w:r>
          </w:p>
        </w:tc>
        <w:tc>
          <w:tcPr>
            <w:tcW w:w="1320" w:type="dxa"/>
            <w:tcBorders>
              <w:top w:val="nil"/>
              <w:left w:val="nil"/>
              <w:bottom w:val="single" w:sz="4" w:space="0" w:color="auto"/>
              <w:right w:val="single" w:sz="4" w:space="0" w:color="auto"/>
            </w:tcBorders>
            <w:shd w:val="clear" w:color="auto" w:fill="auto"/>
            <w:vAlign w:val="center"/>
          </w:tcPr>
          <w:p w:rsidR="00C44512" w:rsidP="00FE13F8">
            <w:pPr>
              <w:widowControl/>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-18%</w:t>
            </w:r>
          </w:p>
        </w:tc>
      </w:tr>
    </w:tbl>
    <w:p w:rsidR="00F17834">
      <w:pPr>
        <w:rPr>
          <w:rFonts w:ascii="仿宋_GB2312" w:eastAsia="仿宋_GB2312" w:hAnsi="仿宋_GB2312" w:cs="仿宋_GB2312"/>
          <w:sz w:val="32"/>
          <w:szCs w:val="32"/>
        </w:rPr>
      </w:pPr>
    </w:p>
    <w:p w:rsidR="00F17834">
      <w:pPr>
        <w:pStyle w:val="NormalWeb"/>
        <w:widowControl/>
        <w:shd w:val="clear" w:color="auto" w:fill="FFFFFF"/>
        <w:spacing w:before="105" w:beforeAutospacing="0" w:after="105" w:afterAutospacing="0" w:line="360" w:lineRule="atLeast"/>
        <w:rPr>
          <w:rFonts w:ascii="仿宋_GB2312" w:eastAsia="仿宋_GB2312" w:hAnsi="仿宋_GB2312" w:cs="仿宋_GB2312"/>
          <w:color w:val="333333"/>
          <w:sz w:val="32"/>
          <w:szCs w:val="32"/>
          <w:shd w:val="clear" w:color="auto" w:fill="FFFFFF"/>
        </w:rPr>
      </w:pPr>
    </w:p>
    <w:p w:rsidR="00F17834">
      <w:pPr>
        <w:pStyle w:val="NormalWeb"/>
        <w:widowControl/>
        <w:shd w:val="clear" w:color="auto" w:fill="FFFFFF"/>
        <w:spacing w:before="105" w:beforeAutospacing="0" w:after="105" w:afterAutospacing="0" w:line="360" w:lineRule="atLeast"/>
        <w:rPr>
          <w:rFonts w:ascii="仿宋_GB2312" w:eastAsia="仿宋_GB2312" w:hAnsi="仿宋_GB2312" w:cs="仿宋_GB2312"/>
          <w:color w:val="333333"/>
          <w:sz w:val="32"/>
          <w:szCs w:val="32"/>
          <w:shd w:val="clear" w:color="auto" w:fill="FFFFFF"/>
        </w:rPr>
      </w:pPr>
    </w:p>
    <w:p w:rsidR="00F17834">
      <w:pPr>
        <w:pStyle w:val="NormalWeb"/>
        <w:widowControl/>
        <w:shd w:val="clear" w:color="auto" w:fill="FFFFFF"/>
        <w:spacing w:before="105" w:beforeAutospacing="0" w:after="105" w:afterAutospacing="0" w:line="360" w:lineRule="atLeast"/>
        <w:rPr>
          <w:rFonts w:ascii="仿宋_GB2312" w:eastAsia="仿宋_GB2312" w:hAnsi="仿宋_GB2312" w:cs="仿宋_GB2312"/>
          <w:color w:val="333333"/>
          <w:sz w:val="32"/>
          <w:szCs w:val="32"/>
          <w:shd w:val="clear" w:color="auto" w:fill="FFFFFF"/>
        </w:rPr>
      </w:pPr>
    </w:p>
    <w:p w:rsidR="00F17834">
      <w:pPr>
        <w:pStyle w:val="NormalWeb"/>
        <w:widowControl/>
        <w:shd w:val="clear" w:color="auto" w:fill="FFFFFF"/>
        <w:spacing w:before="105" w:beforeAutospacing="0" w:after="105" w:afterAutospacing="0" w:line="360" w:lineRule="atLeast"/>
        <w:jc w:val="center"/>
        <w:rPr>
          <w:rFonts w:ascii="黑体" w:eastAsia="黑体" w:hAnsi="黑体" w:cs="黑体"/>
          <w:color w:val="333333"/>
          <w:sz w:val="32"/>
          <w:szCs w:val="32"/>
        </w:rPr>
      </w:pPr>
      <w:r>
        <w:rPr>
          <w:rFonts w:ascii="黑体" w:eastAsia="黑体" w:hAnsi="黑体" w:cs="黑体" w:hint="eastAsia"/>
          <w:color w:val="333333"/>
          <w:sz w:val="32"/>
          <w:szCs w:val="32"/>
          <w:shd w:val="clear" w:color="auto" w:fill="FFFFFF"/>
        </w:rPr>
        <w:t>第四部分</w:t>
      </w:r>
      <w:r>
        <w:rPr>
          <w:rFonts w:ascii="黑体" w:eastAsia="黑体" w:hAnsi="黑体" w:cs="黑体" w:hint="eastAsia"/>
          <w:color w:val="333333"/>
          <w:sz w:val="32"/>
          <w:szCs w:val="32"/>
          <w:shd w:val="clear" w:color="auto" w:fill="FFFFFF"/>
        </w:rPr>
        <w:t>  </w:t>
      </w:r>
      <w:r>
        <w:rPr>
          <w:rFonts w:ascii="黑体" w:eastAsia="黑体" w:hAnsi="黑体" w:cs="黑体" w:hint="eastAsia"/>
          <w:color w:val="333333"/>
          <w:sz w:val="32"/>
          <w:szCs w:val="32"/>
          <w:shd w:val="clear" w:color="auto" w:fill="FFFFFF"/>
        </w:rPr>
        <w:t>其他重要事项及相关口径情况说明</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一、机关运行经费支出情况</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迪庆州</w:t>
      </w:r>
      <w:r>
        <w:rPr>
          <w:rFonts w:ascii="仿宋_GB2312" w:eastAsia="仿宋_GB2312" w:hAnsi="仿宋_GB2312" w:cs="仿宋_GB2312" w:hint="eastAsia"/>
          <w:color w:val="333333"/>
          <w:sz w:val="32"/>
          <w:szCs w:val="32"/>
          <w:shd w:val="clear" w:color="auto" w:fill="FFFFFF"/>
        </w:rPr>
        <w:t>城乡规划管理局</w:t>
      </w: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年机关运行经费支出</w:t>
      </w:r>
      <w:r>
        <w:rPr>
          <w:rFonts w:ascii="仿宋_GB2312" w:eastAsia="仿宋_GB2312" w:hAnsi="仿宋_GB2312" w:cs="仿宋_GB2312" w:hint="eastAsia"/>
          <w:color w:val="333333"/>
          <w:sz w:val="32"/>
          <w:szCs w:val="32"/>
          <w:shd w:val="clear" w:color="auto" w:fill="FFFFFF"/>
        </w:rPr>
        <w:t>23.4</w:t>
      </w:r>
      <w:r>
        <w:rPr>
          <w:rFonts w:ascii="仿宋_GB2312" w:eastAsia="仿宋_GB2312" w:hAnsi="仿宋_GB2312" w:cs="仿宋_GB2312" w:hint="eastAsia"/>
          <w:color w:val="333333"/>
          <w:sz w:val="32"/>
          <w:szCs w:val="32"/>
          <w:shd w:val="clear" w:color="auto" w:fill="FFFFFF"/>
        </w:rPr>
        <w:t>万元，与上年对比</w:t>
      </w:r>
      <w:r>
        <w:rPr>
          <w:rFonts w:ascii="仿宋_GB2312" w:eastAsia="仿宋_GB2312" w:hAnsi="仿宋_GB2312" w:cs="仿宋_GB2312" w:hint="eastAsia"/>
          <w:color w:val="333333"/>
          <w:sz w:val="32"/>
          <w:szCs w:val="32"/>
          <w:shd w:val="clear" w:color="auto" w:fill="FFFFFF"/>
        </w:rPr>
        <w:t>减少</w:t>
      </w:r>
      <w:r w:rsidR="008A09BE">
        <w:rPr>
          <w:rFonts w:ascii="仿宋_GB2312" w:eastAsia="仿宋_GB2312" w:hAnsi="仿宋_GB2312" w:cs="仿宋_GB2312" w:hint="eastAsia"/>
          <w:color w:val="333333"/>
          <w:sz w:val="32"/>
          <w:szCs w:val="32"/>
          <w:shd w:val="clear" w:color="auto" w:fill="FFFFFF"/>
        </w:rPr>
        <w:t>0.9</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减少</w:t>
      </w:r>
      <w:r>
        <w:rPr>
          <w:rFonts w:ascii="仿宋_GB2312" w:eastAsia="仿宋_GB2312" w:hAnsi="仿宋_GB2312" w:cs="仿宋_GB2312" w:hint="eastAsia"/>
          <w:color w:val="333333"/>
          <w:sz w:val="32"/>
          <w:szCs w:val="32"/>
          <w:shd w:val="clear" w:color="auto" w:fill="FFFFFF"/>
        </w:rPr>
        <w:t>了</w:t>
      </w:r>
      <w:r w:rsidR="008A09BE">
        <w:rPr>
          <w:rFonts w:ascii="仿宋_GB2312" w:eastAsia="仿宋_GB2312" w:hAnsi="仿宋_GB2312" w:cs="仿宋_GB2312" w:hint="eastAsia"/>
          <w:color w:val="333333"/>
          <w:sz w:val="32"/>
          <w:szCs w:val="32"/>
          <w:shd w:val="clear" w:color="auto" w:fill="FFFFFF"/>
        </w:rPr>
        <w:t>4</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Autospacing="0" w:afterAutospacing="0" w:line="480" w:lineRule="atLeast"/>
        <w:ind w:firstLine="320" w:firstLineChars="1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机关运行经费：办公费</w:t>
      </w:r>
      <w:r>
        <w:rPr>
          <w:rFonts w:ascii="仿宋_GB2312" w:eastAsia="仿宋_GB2312" w:hAnsi="仿宋_GB2312" w:cs="仿宋_GB2312" w:hint="eastAsia"/>
          <w:color w:val="333333"/>
          <w:sz w:val="32"/>
          <w:szCs w:val="32"/>
          <w:shd w:val="clear" w:color="auto" w:fill="FFFFFF"/>
        </w:rPr>
        <w:t>1.3</w:t>
      </w:r>
      <w:r>
        <w:rPr>
          <w:rFonts w:ascii="仿宋_GB2312" w:eastAsia="仿宋_GB2312" w:hAnsi="仿宋_GB2312" w:cs="仿宋_GB2312" w:hint="eastAsia"/>
          <w:color w:val="333333"/>
          <w:sz w:val="32"/>
          <w:szCs w:val="32"/>
          <w:shd w:val="clear" w:color="auto" w:fill="FFFFFF"/>
        </w:rPr>
        <w:t>万元、水费</w:t>
      </w:r>
      <w:r>
        <w:rPr>
          <w:rFonts w:ascii="仿宋_GB2312" w:eastAsia="仿宋_GB2312" w:hAnsi="仿宋_GB2312" w:cs="仿宋_GB2312" w:hint="eastAsia"/>
          <w:color w:val="333333"/>
          <w:sz w:val="32"/>
          <w:szCs w:val="32"/>
          <w:shd w:val="clear" w:color="auto" w:fill="FFFFFF"/>
        </w:rPr>
        <w:t>0.2</w:t>
      </w:r>
      <w:r>
        <w:rPr>
          <w:rFonts w:ascii="仿宋_GB2312" w:eastAsia="仿宋_GB2312" w:hAnsi="仿宋_GB2312" w:cs="仿宋_GB2312" w:hint="eastAsia"/>
          <w:color w:val="333333"/>
          <w:sz w:val="32"/>
          <w:szCs w:val="32"/>
          <w:shd w:val="clear" w:color="auto" w:fill="FFFFFF"/>
        </w:rPr>
        <w:t>万元、电费</w:t>
      </w:r>
      <w:r>
        <w:rPr>
          <w:rFonts w:ascii="仿宋_GB2312" w:eastAsia="仿宋_GB2312" w:hAnsi="仿宋_GB2312" w:cs="仿宋_GB2312" w:hint="eastAsia"/>
          <w:color w:val="333333"/>
          <w:sz w:val="32"/>
          <w:szCs w:val="32"/>
          <w:shd w:val="clear" w:color="auto" w:fill="FFFFFF"/>
        </w:rPr>
        <w:t>7</w:t>
      </w:r>
      <w:r>
        <w:rPr>
          <w:rFonts w:ascii="仿宋_GB2312" w:eastAsia="仿宋_GB2312" w:hAnsi="仿宋_GB2312" w:cs="仿宋_GB2312" w:hint="eastAsia"/>
          <w:color w:val="333333"/>
          <w:sz w:val="32"/>
          <w:szCs w:val="32"/>
          <w:shd w:val="clear" w:color="auto" w:fill="FFFFFF"/>
        </w:rPr>
        <w:t>万元、邮电费</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万元、差旅费</w:t>
      </w:r>
      <w:r>
        <w:rPr>
          <w:rFonts w:ascii="仿宋_GB2312" w:eastAsia="仿宋_GB2312" w:hAnsi="仿宋_GB2312" w:cs="仿宋_GB2312" w:hint="eastAsia"/>
          <w:color w:val="333333"/>
          <w:sz w:val="32"/>
          <w:szCs w:val="32"/>
          <w:shd w:val="clear" w:color="auto" w:fill="FFFFFF"/>
        </w:rPr>
        <w:t>2.5</w:t>
      </w:r>
      <w:r>
        <w:rPr>
          <w:rFonts w:ascii="仿宋_GB2312" w:eastAsia="仿宋_GB2312" w:hAnsi="仿宋_GB2312" w:cs="仿宋_GB2312" w:hint="eastAsia"/>
          <w:color w:val="333333"/>
          <w:sz w:val="32"/>
          <w:szCs w:val="32"/>
          <w:shd w:val="clear" w:color="auto" w:fill="FFFFFF"/>
        </w:rPr>
        <w:t>万元、公务接待费</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劳务费</w:t>
      </w:r>
      <w:r>
        <w:rPr>
          <w:rFonts w:ascii="仿宋_GB2312" w:eastAsia="仿宋_GB2312" w:hAnsi="仿宋_GB2312" w:cs="仿宋_GB2312" w:hint="eastAsia"/>
          <w:color w:val="333333"/>
          <w:sz w:val="32"/>
          <w:szCs w:val="32"/>
          <w:shd w:val="clear" w:color="auto" w:fill="FFFFFF"/>
        </w:rPr>
        <w:t>2.3</w:t>
      </w:r>
      <w:r>
        <w:rPr>
          <w:rFonts w:ascii="仿宋_GB2312" w:eastAsia="仿宋_GB2312" w:hAnsi="仿宋_GB2312" w:cs="仿宋_GB2312" w:hint="eastAsia"/>
          <w:color w:val="333333"/>
          <w:sz w:val="32"/>
          <w:szCs w:val="32"/>
          <w:shd w:val="clear" w:color="auto" w:fill="FFFFFF"/>
        </w:rPr>
        <w:t>万元、委托业务费</w:t>
      </w:r>
      <w:r>
        <w:rPr>
          <w:rFonts w:ascii="仿宋_GB2312" w:eastAsia="仿宋_GB2312" w:hAnsi="仿宋_GB2312" w:cs="仿宋_GB2312" w:hint="eastAsia"/>
          <w:color w:val="333333"/>
          <w:sz w:val="32"/>
          <w:szCs w:val="32"/>
          <w:shd w:val="clear" w:color="auto" w:fill="FFFFFF"/>
        </w:rPr>
        <w:t>2.2</w:t>
      </w:r>
      <w:r>
        <w:rPr>
          <w:rFonts w:ascii="仿宋_GB2312" w:eastAsia="仿宋_GB2312" w:hAnsi="仿宋_GB2312" w:cs="仿宋_GB2312" w:hint="eastAsia"/>
          <w:color w:val="333333"/>
          <w:sz w:val="32"/>
          <w:szCs w:val="32"/>
          <w:shd w:val="clear" w:color="auto" w:fill="FFFFFF"/>
        </w:rPr>
        <w:t>万元、工会经费</w:t>
      </w:r>
      <w:r>
        <w:rPr>
          <w:rFonts w:ascii="仿宋_GB2312" w:eastAsia="仿宋_GB2312" w:hAnsi="仿宋_GB2312" w:cs="仿宋_GB2312" w:hint="eastAsia"/>
          <w:color w:val="333333"/>
          <w:sz w:val="32"/>
          <w:szCs w:val="32"/>
          <w:shd w:val="clear" w:color="auto" w:fill="FFFFFF"/>
        </w:rPr>
        <w:t>4.6</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公务用车运行维护费</w:t>
      </w:r>
      <w:r>
        <w:rPr>
          <w:rFonts w:ascii="仿宋_GB2312" w:eastAsia="仿宋_GB2312" w:hAnsi="仿宋_GB2312" w:cs="仿宋_GB2312" w:hint="eastAsia"/>
          <w:color w:val="333333"/>
          <w:sz w:val="32"/>
          <w:szCs w:val="32"/>
          <w:shd w:val="clear" w:color="auto" w:fill="FFFFFF"/>
        </w:rPr>
        <w:t>0.5</w:t>
      </w:r>
      <w:r>
        <w:rPr>
          <w:rFonts w:ascii="仿宋_GB2312" w:eastAsia="仿宋_GB2312" w:hAnsi="仿宋_GB2312" w:cs="仿宋_GB2312" w:hint="eastAsia"/>
          <w:color w:val="333333"/>
          <w:sz w:val="32"/>
          <w:szCs w:val="32"/>
          <w:shd w:val="clear" w:color="auto" w:fill="FFFFFF"/>
        </w:rPr>
        <w:t>万元、其他商品和服务支出</w:t>
      </w:r>
      <w:r>
        <w:rPr>
          <w:rFonts w:ascii="仿宋_GB2312" w:eastAsia="仿宋_GB2312" w:hAnsi="仿宋_GB2312" w:cs="仿宋_GB2312" w:hint="eastAsia"/>
          <w:color w:val="333333"/>
          <w:sz w:val="32"/>
          <w:szCs w:val="32"/>
          <w:shd w:val="clear" w:color="auto" w:fill="FFFFFF"/>
        </w:rPr>
        <w:t>2.8</w:t>
      </w:r>
      <w:r>
        <w:rPr>
          <w:rFonts w:ascii="仿宋_GB2312" w:eastAsia="仿宋_GB2312" w:hAnsi="仿宋_GB2312" w:cs="仿宋_GB2312" w:hint="eastAsia"/>
          <w:color w:val="333333"/>
          <w:sz w:val="32"/>
          <w:szCs w:val="32"/>
          <w:shd w:val="clear" w:color="auto" w:fill="FFFFFF"/>
        </w:rPr>
        <w:t>万元。</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二、国有资产占用情况</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截至</w:t>
      </w: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w:t>
      </w:r>
      <w:r>
        <w:rPr>
          <w:rFonts w:ascii="仿宋_GB2312" w:eastAsia="仿宋_GB2312" w:hAnsi="仿宋_GB2312" w:cs="仿宋_GB2312" w:hint="eastAsia"/>
          <w:color w:val="333333"/>
          <w:sz w:val="32"/>
          <w:szCs w:val="32"/>
          <w:shd w:val="clear" w:color="auto" w:fill="FFFFFF"/>
        </w:rPr>
        <w:t>12</w:t>
      </w:r>
      <w:r>
        <w:rPr>
          <w:rFonts w:ascii="仿宋_GB2312" w:eastAsia="仿宋_GB2312" w:hAnsi="仿宋_GB2312" w:cs="仿宋_GB2312" w:hint="eastAsia"/>
          <w:color w:val="333333"/>
          <w:sz w:val="32"/>
          <w:szCs w:val="32"/>
          <w:shd w:val="clear" w:color="auto" w:fill="FFFFFF"/>
        </w:rPr>
        <w:t>月</w:t>
      </w:r>
      <w:r>
        <w:rPr>
          <w:rFonts w:ascii="仿宋_GB2312" w:eastAsia="仿宋_GB2312" w:hAnsi="仿宋_GB2312" w:cs="仿宋_GB2312" w:hint="eastAsia"/>
          <w:color w:val="333333"/>
          <w:sz w:val="32"/>
          <w:szCs w:val="32"/>
          <w:shd w:val="clear" w:color="auto" w:fill="FFFFFF"/>
        </w:rPr>
        <w:t>31</w:t>
      </w:r>
      <w:r>
        <w:rPr>
          <w:rFonts w:ascii="仿宋_GB2312" w:eastAsia="仿宋_GB2312" w:hAnsi="仿宋_GB2312" w:cs="仿宋_GB2312" w:hint="eastAsia"/>
          <w:color w:val="333333"/>
          <w:sz w:val="32"/>
          <w:szCs w:val="32"/>
          <w:shd w:val="clear" w:color="auto" w:fill="FFFFFF"/>
        </w:rPr>
        <w:t>日，迪庆州</w:t>
      </w:r>
      <w:r>
        <w:rPr>
          <w:rFonts w:ascii="仿宋_GB2312" w:eastAsia="仿宋_GB2312" w:hAnsi="仿宋_GB2312" w:cs="仿宋_GB2312" w:hint="eastAsia"/>
          <w:color w:val="333333"/>
          <w:sz w:val="32"/>
          <w:szCs w:val="32"/>
          <w:shd w:val="clear" w:color="auto" w:fill="FFFFFF"/>
        </w:rPr>
        <w:t>城乡规划管理局</w:t>
      </w:r>
      <w:r>
        <w:rPr>
          <w:rFonts w:ascii="仿宋_GB2312" w:eastAsia="仿宋_GB2312" w:hAnsi="仿宋_GB2312" w:cs="仿宋_GB2312" w:hint="eastAsia"/>
          <w:color w:val="333333"/>
          <w:sz w:val="32"/>
          <w:szCs w:val="32"/>
          <w:shd w:val="clear" w:color="auto" w:fill="FFFFFF"/>
        </w:rPr>
        <w:t>资产总额</w:t>
      </w:r>
      <w:r>
        <w:rPr>
          <w:rFonts w:ascii="仿宋_GB2312" w:eastAsia="仿宋_GB2312" w:hAnsi="仿宋_GB2312" w:cs="仿宋_GB2312" w:hint="eastAsia"/>
          <w:color w:val="333333"/>
          <w:sz w:val="32"/>
          <w:szCs w:val="32"/>
          <w:shd w:val="clear" w:color="auto" w:fill="FFFFFF"/>
        </w:rPr>
        <w:t>135</w:t>
      </w:r>
      <w:r>
        <w:rPr>
          <w:rFonts w:ascii="仿宋_GB2312" w:eastAsia="仿宋_GB2312" w:hAnsi="仿宋_GB2312" w:cs="仿宋_GB2312" w:hint="eastAsia"/>
          <w:color w:val="333333"/>
          <w:sz w:val="32"/>
          <w:szCs w:val="32"/>
          <w:shd w:val="clear" w:color="auto" w:fill="FFFFFF"/>
        </w:rPr>
        <w:t>万元，其中，流动资产</w:t>
      </w:r>
      <w:r>
        <w:rPr>
          <w:rFonts w:ascii="仿宋_GB2312" w:eastAsia="仿宋_GB2312" w:hAnsi="仿宋_GB2312" w:cs="仿宋_GB2312" w:hint="eastAsia"/>
          <w:color w:val="333333"/>
          <w:sz w:val="32"/>
          <w:szCs w:val="32"/>
          <w:shd w:val="clear" w:color="auto" w:fill="FFFFFF"/>
        </w:rPr>
        <w:t>35</w:t>
      </w:r>
      <w:r>
        <w:rPr>
          <w:rFonts w:ascii="仿宋_GB2312" w:eastAsia="仿宋_GB2312" w:hAnsi="仿宋_GB2312" w:cs="仿宋_GB2312" w:hint="eastAsia"/>
          <w:color w:val="333333"/>
          <w:sz w:val="32"/>
          <w:szCs w:val="32"/>
          <w:shd w:val="clear" w:color="auto" w:fill="FFFFFF"/>
        </w:rPr>
        <w:t>万元，固定资产</w:t>
      </w:r>
      <w:r>
        <w:rPr>
          <w:rFonts w:ascii="仿宋_GB2312" w:eastAsia="仿宋_GB2312" w:hAnsi="仿宋_GB2312" w:cs="仿宋_GB2312" w:hint="eastAsia"/>
          <w:color w:val="333333"/>
          <w:sz w:val="32"/>
          <w:szCs w:val="32"/>
          <w:shd w:val="clear" w:color="auto" w:fill="FFFFFF"/>
        </w:rPr>
        <w:t>110</w:t>
      </w:r>
      <w:r>
        <w:rPr>
          <w:rFonts w:ascii="仿宋_GB2312" w:eastAsia="仿宋_GB2312" w:hAnsi="仿宋_GB2312" w:cs="仿宋_GB2312" w:hint="eastAsia"/>
          <w:color w:val="333333"/>
          <w:sz w:val="32"/>
          <w:szCs w:val="32"/>
          <w:shd w:val="clear" w:color="auto" w:fill="FFFFFF"/>
        </w:rPr>
        <w:t>万元，对外投资及有价证券</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万元，在建工程</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万元，无形资产</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万元，其他资产</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万元（具体内容详见附表）。与上年相比，本年资产总额减少</w:t>
      </w:r>
      <w:r>
        <w:rPr>
          <w:rFonts w:ascii="仿宋_GB2312" w:eastAsia="仿宋_GB2312" w:hAnsi="仿宋_GB2312" w:cs="仿宋_GB2312" w:hint="eastAsia"/>
          <w:color w:val="333333"/>
          <w:sz w:val="32"/>
          <w:szCs w:val="32"/>
          <w:shd w:val="clear" w:color="auto" w:fill="FFFFFF"/>
        </w:rPr>
        <w:t>43</w:t>
      </w:r>
      <w:r>
        <w:rPr>
          <w:rFonts w:ascii="仿宋_GB2312" w:eastAsia="仿宋_GB2312" w:hAnsi="仿宋_GB2312" w:cs="仿宋_GB2312" w:hint="eastAsia"/>
          <w:color w:val="333333"/>
          <w:sz w:val="32"/>
          <w:szCs w:val="32"/>
          <w:shd w:val="clear" w:color="auto" w:fill="FFFFFF"/>
        </w:rPr>
        <w:t>万元，其中：</w:t>
      </w:r>
      <w:r>
        <w:rPr>
          <w:rFonts w:ascii="仿宋_GB2312" w:eastAsia="仿宋_GB2312" w:hAnsi="仿宋_GB2312" w:cs="仿宋_GB2312" w:hint="eastAsia"/>
          <w:color w:val="333333"/>
          <w:sz w:val="32"/>
          <w:szCs w:val="32"/>
          <w:shd w:val="clear" w:color="auto" w:fill="FFFFFF"/>
        </w:rPr>
        <w:t>库存现金</w:t>
      </w:r>
      <w:r>
        <w:rPr>
          <w:rFonts w:ascii="仿宋_GB2312" w:eastAsia="仿宋_GB2312" w:hAnsi="仿宋_GB2312" w:cs="仿宋_GB2312" w:hint="eastAsia"/>
          <w:color w:val="333333"/>
          <w:sz w:val="32"/>
          <w:szCs w:val="32"/>
          <w:shd w:val="clear" w:color="auto" w:fill="FFFFFF"/>
        </w:rPr>
        <w:t>与上年相比</w:t>
      </w:r>
      <w:r>
        <w:rPr>
          <w:rFonts w:ascii="仿宋_GB2312" w:eastAsia="仿宋_GB2312" w:hAnsi="仿宋_GB2312" w:cs="仿宋_GB2312" w:hint="eastAsia"/>
          <w:color w:val="333333"/>
          <w:sz w:val="32"/>
          <w:szCs w:val="32"/>
          <w:shd w:val="clear" w:color="auto" w:fill="FFFFFF"/>
        </w:rPr>
        <w:t>增加了</w:t>
      </w:r>
      <w:r>
        <w:rPr>
          <w:rFonts w:ascii="仿宋_GB2312" w:eastAsia="仿宋_GB2312" w:hAnsi="仿宋_GB2312" w:cs="仿宋_GB2312" w:hint="eastAsia"/>
          <w:color w:val="333333"/>
          <w:sz w:val="32"/>
          <w:szCs w:val="32"/>
          <w:shd w:val="clear" w:color="auto" w:fill="FFFFFF"/>
        </w:rPr>
        <w:t>0.2</w:t>
      </w:r>
      <w:r>
        <w:rPr>
          <w:rFonts w:ascii="仿宋_GB2312" w:eastAsia="仿宋_GB2312" w:hAnsi="仿宋_GB2312" w:cs="仿宋_GB2312" w:hint="eastAsia"/>
          <w:color w:val="333333"/>
          <w:sz w:val="32"/>
          <w:szCs w:val="32"/>
          <w:shd w:val="clear" w:color="auto" w:fill="FFFFFF"/>
        </w:rPr>
        <w:t>万元；银行存款与上年相比</w:t>
      </w:r>
      <w:r>
        <w:rPr>
          <w:rFonts w:ascii="仿宋_GB2312" w:eastAsia="仿宋_GB2312" w:hAnsi="仿宋_GB2312" w:cs="仿宋_GB2312" w:hint="eastAsia"/>
          <w:color w:val="333333"/>
          <w:sz w:val="32"/>
          <w:szCs w:val="32"/>
          <w:shd w:val="clear" w:color="auto" w:fill="FFFFFF"/>
        </w:rPr>
        <w:t>增加了</w:t>
      </w:r>
      <w:r>
        <w:rPr>
          <w:rFonts w:ascii="仿宋_GB2312" w:eastAsia="仿宋_GB2312" w:hAnsi="仿宋_GB2312" w:cs="仿宋_GB2312" w:hint="eastAsia"/>
          <w:color w:val="333333"/>
          <w:sz w:val="32"/>
          <w:szCs w:val="32"/>
          <w:shd w:val="clear" w:color="auto" w:fill="FFFFFF"/>
        </w:rPr>
        <w:t>5</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w:t>
      </w:r>
      <w:r>
        <w:rPr>
          <w:rFonts w:ascii="仿宋_GB2312" w:eastAsia="仿宋_GB2312" w:hAnsi="仿宋_GB2312" w:cs="仿宋_GB2312" w:hint="eastAsia"/>
          <w:color w:val="333333"/>
          <w:sz w:val="32"/>
          <w:szCs w:val="32"/>
          <w:shd w:val="clear" w:color="auto" w:fill="FFFFFF"/>
        </w:rPr>
        <w:t>财政应返还额度与上年相比</w:t>
      </w:r>
      <w:r>
        <w:rPr>
          <w:rFonts w:ascii="仿宋_GB2312" w:eastAsia="仿宋_GB2312" w:hAnsi="仿宋_GB2312" w:cs="仿宋_GB2312" w:hint="eastAsia"/>
          <w:color w:val="333333"/>
          <w:sz w:val="32"/>
          <w:szCs w:val="32"/>
          <w:shd w:val="clear" w:color="auto" w:fill="FFFFFF"/>
        </w:rPr>
        <w:t>减少</w:t>
      </w:r>
      <w:r>
        <w:rPr>
          <w:rFonts w:ascii="仿宋_GB2312" w:eastAsia="仿宋_GB2312" w:hAnsi="仿宋_GB2312" w:cs="仿宋_GB2312" w:hint="eastAsia"/>
          <w:color w:val="333333"/>
          <w:sz w:val="32"/>
          <w:szCs w:val="32"/>
          <w:shd w:val="clear" w:color="auto" w:fill="FFFFFF"/>
        </w:rPr>
        <w:t>了</w:t>
      </w:r>
      <w:r>
        <w:rPr>
          <w:rFonts w:ascii="仿宋_GB2312" w:eastAsia="仿宋_GB2312" w:hAnsi="仿宋_GB2312" w:cs="仿宋_GB2312" w:hint="eastAsia"/>
          <w:color w:val="333333"/>
          <w:sz w:val="32"/>
          <w:szCs w:val="32"/>
          <w:shd w:val="clear" w:color="auto" w:fill="FFFFFF"/>
        </w:rPr>
        <w:t>47.8</w:t>
      </w:r>
      <w:r>
        <w:rPr>
          <w:rFonts w:ascii="仿宋_GB2312" w:eastAsia="仿宋_GB2312" w:hAnsi="仿宋_GB2312" w:cs="仿宋_GB2312" w:hint="eastAsia"/>
          <w:color w:val="333333"/>
          <w:sz w:val="32"/>
          <w:szCs w:val="32"/>
          <w:shd w:val="clear" w:color="auto" w:fill="FFFFFF"/>
        </w:rPr>
        <w:t>万元；其他应收款与上年相比减少了</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万元；固定资产与上年相比增加了</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万元。处置房屋建筑物</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平方米，账面原值</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万元；处置车辆</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辆，账面原值</w:t>
      </w:r>
      <w:r w:rsidR="00245885">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万元；报废报损资产</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项，账面原值</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万元，实</w:t>
      </w:r>
      <w:r>
        <w:rPr>
          <w:rFonts w:ascii="仿宋_GB2312" w:eastAsia="仿宋_GB2312" w:hAnsi="仿宋_GB2312" w:cs="仿宋_GB2312" w:hint="eastAsia"/>
          <w:color w:val="333333"/>
          <w:sz w:val="32"/>
          <w:szCs w:val="32"/>
          <w:shd w:val="clear" w:color="auto" w:fill="FFFFFF"/>
        </w:rPr>
        <w:t>现资产处置收入</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万元；出租房屋</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平方米，账面原值</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万元，实现资产使用收入</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w:t>
      </w:r>
    </w:p>
    <w:tbl>
      <w:tblPr>
        <w:tblpPr w:leftFromText="180" w:rightFromText="180" w:vertAnchor="text" w:horzAnchor="page" w:tblpX="1181" w:tblpY="-84"/>
        <w:tblOverlap w:val="never"/>
        <w:tblW w:w="10485" w:type="dxa"/>
        <w:shd w:val="clear" w:color="auto" w:fill="FFFFFF"/>
        <w:tblLayout w:type="fixed"/>
        <w:tblCellMar>
          <w:left w:w="0" w:type="dxa"/>
          <w:right w:w="0" w:type="dxa"/>
        </w:tblCellMar>
        <w:tblLook w:val="04A0"/>
      </w:tblPr>
      <w:tblGrid>
        <w:gridCol w:w="434"/>
        <w:gridCol w:w="539"/>
        <w:gridCol w:w="705"/>
        <w:gridCol w:w="690"/>
        <w:gridCol w:w="720"/>
        <w:gridCol w:w="479"/>
        <w:gridCol w:w="776"/>
        <w:gridCol w:w="60"/>
        <w:gridCol w:w="719"/>
        <w:gridCol w:w="150"/>
        <w:gridCol w:w="749"/>
        <w:gridCol w:w="465"/>
        <w:gridCol w:w="794"/>
        <w:gridCol w:w="794"/>
        <w:gridCol w:w="674"/>
        <w:gridCol w:w="614"/>
        <w:gridCol w:w="359"/>
        <w:gridCol w:w="150"/>
        <w:gridCol w:w="240"/>
        <w:gridCol w:w="224"/>
        <w:gridCol w:w="150"/>
      </w:tblGrid>
      <w:tr>
        <w:tblPrEx>
          <w:tblW w:w="10485" w:type="dxa"/>
          <w:shd w:val="clear" w:color="auto" w:fill="FFFFFF"/>
          <w:tblLayout w:type="fixed"/>
          <w:tblCellMar>
            <w:left w:w="0" w:type="dxa"/>
            <w:right w:w="0" w:type="dxa"/>
          </w:tblCellMar>
          <w:tblLook w:val="04A0"/>
        </w:tblPrEx>
        <w:trPr>
          <w:trHeight w:val="495"/>
        </w:trPr>
        <w:tc>
          <w:tcPr>
            <w:tcW w:w="10111" w:type="dxa"/>
            <w:gridSpan w:val="19"/>
            <w:tcBorders>
              <w:top w:val="nil"/>
              <w:left w:val="nil"/>
              <w:bottom w:val="nil"/>
              <w:right w:val="nil"/>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Style w:val="Strong"/>
                <w:rFonts w:asciiTheme="minorEastAsia" w:hAnsiTheme="minorEastAsia" w:cstheme="minorEastAsia" w:hint="eastAsia"/>
                <w:b w:val="0"/>
                <w:color w:val="333333"/>
                <w:sz w:val="21"/>
                <w:szCs w:val="21"/>
              </w:rPr>
              <w:t>国有资产占有使用情况表</w:t>
            </w:r>
          </w:p>
        </w:tc>
        <w:tc>
          <w:tcPr>
            <w:tcW w:w="374" w:type="dxa"/>
            <w:gridSpan w:val="2"/>
            <w:tcBorders>
              <w:top w:val="single" w:sz="6" w:space="0" w:color="DDDDDD"/>
              <w:left w:val="nil"/>
              <w:bottom w:val="single" w:sz="6" w:space="0" w:color="DDDDDD"/>
              <w:right w:val="single" w:sz="6" w:space="0" w:color="DDDDDD"/>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r>
      <w:tr>
        <w:tblPrEx>
          <w:tblW w:w="10485" w:type="dxa"/>
          <w:shd w:val="clear" w:color="auto" w:fill="FFFFFF"/>
          <w:tblLayout w:type="fixed"/>
          <w:tblCellMar>
            <w:left w:w="0" w:type="dxa"/>
            <w:right w:w="0" w:type="dxa"/>
          </w:tblCellMar>
          <w:tblLook w:val="04A0"/>
        </w:tblPrEx>
        <w:trPr>
          <w:trHeight w:val="345"/>
        </w:trPr>
        <w:tc>
          <w:tcPr>
            <w:tcW w:w="4403" w:type="dxa"/>
            <w:gridSpan w:val="8"/>
            <w:tcBorders>
              <w:top w:val="nil"/>
              <w:left w:val="nil"/>
              <w:bottom w:val="single" w:sz="6" w:space="0" w:color="808080"/>
              <w:right w:val="nil"/>
            </w:tcBorders>
            <w:shd w:val="clear" w:color="auto" w:fill="FFFFFF"/>
            <w:vAlign w:val="center"/>
          </w:tcPr>
          <w:p w:rsidR="00F17834">
            <w:pPr>
              <w:widowControl/>
              <w:spacing w:after="0" w:line="600" w:lineRule="atLeast"/>
              <w:jc w:val="left"/>
              <w:rPr>
                <w:rFonts w:asciiTheme="minorEastAsia" w:hAnsiTheme="minorEastAsia" w:cstheme="minorEastAsia"/>
                <w:color w:val="333333"/>
                <w:szCs w:val="21"/>
              </w:rPr>
            </w:pPr>
          </w:p>
        </w:tc>
        <w:tc>
          <w:tcPr>
            <w:tcW w:w="869" w:type="dxa"/>
            <w:gridSpan w:val="2"/>
            <w:tcBorders>
              <w:top w:val="nil"/>
              <w:left w:val="nil"/>
              <w:bottom w:val="single" w:sz="6" w:space="0" w:color="808080"/>
              <w:right w:val="nil"/>
            </w:tcBorders>
            <w:shd w:val="clear" w:color="auto" w:fill="FFFFFF"/>
            <w:tcMar>
              <w:top w:w="15" w:type="dxa"/>
              <w:left w:w="15" w:type="dxa"/>
              <w:bottom w:w="15" w:type="dxa"/>
              <w:right w:w="15" w:type="dxa"/>
            </w:tcMar>
            <w:vAlign w:val="center"/>
          </w:tcPr>
          <w:p w:rsidR="00F17834">
            <w:pPr>
              <w:widowControl/>
              <w:spacing w:after="0" w:line="600" w:lineRule="atLeast"/>
              <w:jc w:val="left"/>
              <w:rPr>
                <w:rFonts w:asciiTheme="minorEastAsia" w:hAnsiTheme="minorEastAsia" w:cstheme="minorEastAsia"/>
                <w:color w:val="333333"/>
                <w:szCs w:val="21"/>
              </w:rPr>
            </w:pPr>
          </w:p>
        </w:tc>
        <w:tc>
          <w:tcPr>
            <w:tcW w:w="749" w:type="dxa"/>
            <w:tcBorders>
              <w:top w:val="nil"/>
              <w:left w:val="nil"/>
              <w:bottom w:val="single" w:sz="6" w:space="0" w:color="808080"/>
              <w:right w:val="nil"/>
            </w:tcBorders>
            <w:shd w:val="clear" w:color="auto" w:fill="FFFFFF"/>
            <w:tcMar>
              <w:top w:w="15" w:type="dxa"/>
              <w:left w:w="15" w:type="dxa"/>
              <w:bottom w:w="15" w:type="dxa"/>
              <w:right w:w="15" w:type="dxa"/>
            </w:tcMar>
            <w:vAlign w:val="center"/>
          </w:tcPr>
          <w:p w:rsidR="00F17834">
            <w:pPr>
              <w:widowControl/>
              <w:spacing w:after="0" w:line="600" w:lineRule="atLeast"/>
              <w:jc w:val="left"/>
              <w:rPr>
                <w:rFonts w:asciiTheme="minorEastAsia" w:hAnsiTheme="minorEastAsia" w:cstheme="minorEastAsia"/>
                <w:color w:val="333333"/>
                <w:szCs w:val="21"/>
              </w:rPr>
            </w:pPr>
          </w:p>
        </w:tc>
        <w:tc>
          <w:tcPr>
            <w:tcW w:w="465" w:type="dxa"/>
            <w:tcBorders>
              <w:top w:val="nil"/>
              <w:left w:val="nil"/>
              <w:bottom w:val="single" w:sz="6" w:space="0" w:color="808080"/>
              <w:right w:val="nil"/>
            </w:tcBorders>
            <w:shd w:val="clear" w:color="auto" w:fill="FFFFFF"/>
            <w:tcMar>
              <w:top w:w="15" w:type="dxa"/>
              <w:left w:w="15" w:type="dxa"/>
              <w:bottom w:w="15" w:type="dxa"/>
              <w:right w:w="15" w:type="dxa"/>
            </w:tcMar>
            <w:vAlign w:val="center"/>
          </w:tcPr>
          <w:p w:rsidR="00F17834">
            <w:pPr>
              <w:widowControl/>
              <w:spacing w:after="0" w:line="600" w:lineRule="atLeast"/>
              <w:jc w:val="left"/>
              <w:rPr>
                <w:rFonts w:asciiTheme="minorEastAsia" w:hAnsiTheme="minorEastAsia" w:cstheme="minorEastAsia"/>
                <w:color w:val="333333"/>
                <w:szCs w:val="21"/>
              </w:rPr>
            </w:pPr>
          </w:p>
        </w:tc>
        <w:tc>
          <w:tcPr>
            <w:tcW w:w="794" w:type="dxa"/>
            <w:tcBorders>
              <w:top w:val="nil"/>
              <w:left w:val="nil"/>
              <w:bottom w:val="single" w:sz="6" w:space="0" w:color="808080"/>
              <w:right w:val="nil"/>
            </w:tcBorders>
            <w:shd w:val="clear" w:color="auto" w:fill="FFFFFF"/>
            <w:tcMar>
              <w:top w:w="15" w:type="dxa"/>
              <w:left w:w="15" w:type="dxa"/>
              <w:bottom w:w="15" w:type="dxa"/>
              <w:right w:w="15" w:type="dxa"/>
            </w:tcMar>
            <w:vAlign w:val="center"/>
          </w:tcPr>
          <w:p w:rsidR="00F17834">
            <w:pPr>
              <w:widowControl/>
              <w:spacing w:after="0" w:line="600" w:lineRule="atLeast"/>
              <w:jc w:val="left"/>
              <w:rPr>
                <w:rFonts w:asciiTheme="minorEastAsia" w:hAnsiTheme="minorEastAsia" w:cstheme="minorEastAsia"/>
                <w:color w:val="333333"/>
                <w:szCs w:val="21"/>
              </w:rPr>
            </w:pPr>
          </w:p>
        </w:tc>
        <w:tc>
          <w:tcPr>
            <w:tcW w:w="794" w:type="dxa"/>
            <w:tcBorders>
              <w:top w:val="nil"/>
              <w:left w:val="nil"/>
              <w:bottom w:val="single" w:sz="6" w:space="0" w:color="808080"/>
              <w:right w:val="nil"/>
            </w:tcBorders>
            <w:shd w:val="clear" w:color="auto" w:fill="FFFFFF"/>
            <w:tcMar>
              <w:top w:w="15" w:type="dxa"/>
              <w:left w:w="15" w:type="dxa"/>
              <w:bottom w:w="15" w:type="dxa"/>
              <w:right w:w="15" w:type="dxa"/>
            </w:tcMar>
            <w:vAlign w:val="center"/>
          </w:tcPr>
          <w:p w:rsidR="00F17834">
            <w:pPr>
              <w:widowControl/>
              <w:spacing w:after="0" w:line="600" w:lineRule="atLeast"/>
              <w:jc w:val="left"/>
              <w:rPr>
                <w:rFonts w:asciiTheme="minorEastAsia" w:hAnsiTheme="minorEastAsia" w:cstheme="minorEastAsia"/>
                <w:color w:val="333333"/>
                <w:szCs w:val="21"/>
              </w:rPr>
            </w:pPr>
          </w:p>
        </w:tc>
        <w:tc>
          <w:tcPr>
            <w:tcW w:w="2037" w:type="dxa"/>
            <w:gridSpan w:val="5"/>
            <w:tcBorders>
              <w:top w:val="nil"/>
              <w:left w:val="nil"/>
              <w:bottom w:val="single" w:sz="6" w:space="0" w:color="808080"/>
              <w:right w:val="nil"/>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right"/>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单位：万元</w:t>
            </w:r>
          </w:p>
        </w:tc>
        <w:tc>
          <w:tcPr>
            <w:tcW w:w="374" w:type="dxa"/>
            <w:gridSpan w:val="2"/>
            <w:tcBorders>
              <w:top w:val="single" w:sz="6" w:space="0" w:color="DDDDDD"/>
              <w:left w:val="nil"/>
              <w:bottom w:val="single" w:sz="6" w:space="0" w:color="DDDDDD"/>
              <w:right w:val="single" w:sz="6" w:space="0" w:color="DDDDDD"/>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r>
      <w:tr>
        <w:tblPrEx>
          <w:tblW w:w="10485" w:type="dxa"/>
          <w:shd w:val="clear" w:color="auto" w:fill="FFFFFF"/>
          <w:tblLayout w:type="fixed"/>
          <w:tblCellMar>
            <w:left w:w="0" w:type="dxa"/>
            <w:right w:w="0" w:type="dxa"/>
          </w:tblCellMar>
          <w:tblLook w:val="04A0"/>
        </w:tblPrEx>
        <w:trPr>
          <w:trHeight w:val="420"/>
        </w:trPr>
        <w:tc>
          <w:tcPr>
            <w:tcW w:w="434" w:type="dxa"/>
            <w:vMerge w:val="restart"/>
            <w:tcBorders>
              <w:top w:val="nil"/>
              <w:left w:val="single" w:sz="6" w:space="0" w:color="000000"/>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项目</w:t>
            </w:r>
          </w:p>
        </w:tc>
        <w:tc>
          <w:tcPr>
            <w:tcW w:w="539" w:type="dxa"/>
            <w:vMerge w:val="restart"/>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行次</w:t>
            </w:r>
          </w:p>
        </w:tc>
        <w:tc>
          <w:tcPr>
            <w:tcW w:w="705" w:type="dxa"/>
            <w:vMerge w:val="restart"/>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资产总额</w:t>
            </w:r>
          </w:p>
        </w:tc>
        <w:tc>
          <w:tcPr>
            <w:tcW w:w="690" w:type="dxa"/>
            <w:vMerge w:val="restart"/>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流动资产</w:t>
            </w:r>
          </w:p>
        </w:tc>
        <w:tc>
          <w:tcPr>
            <w:tcW w:w="4118" w:type="dxa"/>
            <w:gridSpan w:val="8"/>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固定资产</w:t>
            </w:r>
          </w:p>
        </w:tc>
        <w:tc>
          <w:tcPr>
            <w:tcW w:w="794" w:type="dxa"/>
            <w:vMerge w:val="restar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对外投资</w:t>
            </w:r>
            <w:r>
              <w:rPr>
                <w:rFonts w:asciiTheme="minorEastAsia" w:hAnsiTheme="minorEastAsia" w:cstheme="minorEastAsia" w:hint="eastAsia"/>
                <w:color w:val="333333"/>
                <w:sz w:val="21"/>
                <w:szCs w:val="21"/>
              </w:rPr>
              <w:t>/</w:t>
            </w:r>
            <w:r>
              <w:rPr>
                <w:rFonts w:asciiTheme="minorEastAsia" w:hAnsiTheme="minorEastAsia" w:cstheme="minorEastAsia" w:hint="eastAsia"/>
                <w:color w:val="333333"/>
                <w:sz w:val="21"/>
                <w:szCs w:val="21"/>
              </w:rPr>
              <w:t>有价证券</w:t>
            </w:r>
          </w:p>
        </w:tc>
        <w:tc>
          <w:tcPr>
            <w:tcW w:w="794" w:type="dxa"/>
            <w:vMerge w:val="restar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在建工程</w:t>
            </w:r>
          </w:p>
        </w:tc>
        <w:tc>
          <w:tcPr>
            <w:tcW w:w="674" w:type="dxa"/>
            <w:vMerge w:val="restar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无形资产</w:t>
            </w:r>
          </w:p>
        </w:tc>
        <w:tc>
          <w:tcPr>
            <w:tcW w:w="1363" w:type="dxa"/>
            <w:gridSpan w:val="4"/>
            <w:vMerge w:val="restar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其他资产</w:t>
            </w:r>
          </w:p>
        </w:tc>
        <w:tc>
          <w:tcPr>
            <w:tcW w:w="374" w:type="dxa"/>
            <w:gridSpan w:val="2"/>
            <w:tcBorders>
              <w:top w:val="nil"/>
              <w:left w:val="nil"/>
              <w:bottom w:val="nil"/>
              <w:right w:val="nil"/>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r>
      <w:tr>
        <w:tblPrEx>
          <w:tblW w:w="10485" w:type="dxa"/>
          <w:shd w:val="clear" w:color="auto" w:fill="FFFFFF"/>
          <w:tblLayout w:type="fixed"/>
          <w:tblCellMar>
            <w:left w:w="0" w:type="dxa"/>
            <w:right w:w="0" w:type="dxa"/>
          </w:tblCellMar>
          <w:tblLook w:val="04A0"/>
        </w:tblPrEx>
        <w:trPr>
          <w:trHeight w:val="345"/>
        </w:trPr>
        <w:tc>
          <w:tcPr>
            <w:tcW w:w="434" w:type="dxa"/>
            <w:vMerge/>
            <w:tcBorders>
              <w:top w:val="nil"/>
              <w:left w:val="single" w:sz="6" w:space="0" w:color="000000"/>
              <w:bottom w:val="single" w:sz="6" w:space="0" w:color="000000"/>
              <w:right w:val="single" w:sz="6" w:space="0" w:color="000000"/>
            </w:tcBorders>
            <w:shd w:val="clear" w:color="auto" w:fill="FFFFFF"/>
            <w:vAlign w:val="center"/>
          </w:tcPr>
          <w:p w:rsidR="00F17834">
            <w:pPr>
              <w:jc w:val="center"/>
              <w:rPr>
                <w:rFonts w:asciiTheme="minorEastAsia" w:hAnsiTheme="minorEastAsia" w:cstheme="minorEastAsia"/>
                <w:color w:val="333333"/>
                <w:szCs w:val="21"/>
              </w:rPr>
            </w:pPr>
          </w:p>
        </w:tc>
        <w:tc>
          <w:tcPr>
            <w:tcW w:w="539" w:type="dxa"/>
            <w:vMerge/>
            <w:tcBorders>
              <w:top w:val="nil"/>
              <w:left w:val="nil"/>
              <w:bottom w:val="single" w:sz="6" w:space="0" w:color="000000"/>
              <w:right w:val="single" w:sz="6" w:space="0" w:color="000000"/>
            </w:tcBorders>
            <w:shd w:val="clear" w:color="auto" w:fill="FFFFFF"/>
            <w:vAlign w:val="center"/>
          </w:tcPr>
          <w:p w:rsidR="00F17834">
            <w:pPr>
              <w:jc w:val="center"/>
              <w:rPr>
                <w:rFonts w:asciiTheme="minorEastAsia" w:hAnsiTheme="minorEastAsia" w:cstheme="minorEastAsia"/>
                <w:color w:val="333333"/>
                <w:szCs w:val="21"/>
              </w:rPr>
            </w:pPr>
          </w:p>
        </w:tc>
        <w:tc>
          <w:tcPr>
            <w:tcW w:w="705" w:type="dxa"/>
            <w:vMerge/>
            <w:tcBorders>
              <w:top w:val="nil"/>
              <w:left w:val="nil"/>
              <w:bottom w:val="single" w:sz="6" w:space="0" w:color="000000"/>
              <w:right w:val="single" w:sz="6" w:space="0" w:color="000000"/>
            </w:tcBorders>
            <w:shd w:val="clear" w:color="auto" w:fill="FFFFFF"/>
            <w:vAlign w:val="center"/>
          </w:tcPr>
          <w:p w:rsidR="00F17834">
            <w:pPr>
              <w:jc w:val="center"/>
              <w:rPr>
                <w:rFonts w:asciiTheme="minorEastAsia" w:hAnsiTheme="minorEastAsia" w:cstheme="minorEastAsia"/>
                <w:color w:val="333333"/>
                <w:szCs w:val="21"/>
              </w:rPr>
            </w:pPr>
          </w:p>
        </w:tc>
        <w:tc>
          <w:tcPr>
            <w:tcW w:w="690" w:type="dxa"/>
            <w:vMerge/>
            <w:tcBorders>
              <w:top w:val="nil"/>
              <w:left w:val="nil"/>
              <w:bottom w:val="single" w:sz="6" w:space="0" w:color="000000"/>
              <w:right w:val="single" w:sz="6" w:space="0" w:color="000000"/>
            </w:tcBorders>
            <w:shd w:val="clear" w:color="auto" w:fill="FFFFFF"/>
            <w:vAlign w:val="center"/>
          </w:tcPr>
          <w:p w:rsidR="00F17834">
            <w:pPr>
              <w:jc w:val="center"/>
              <w:rPr>
                <w:rFonts w:asciiTheme="minorEastAsia" w:hAnsiTheme="minorEastAsia" w:cstheme="minorEastAsia"/>
                <w:color w:val="333333"/>
                <w:szCs w:val="21"/>
              </w:rPr>
            </w:pPr>
          </w:p>
        </w:tc>
        <w:tc>
          <w:tcPr>
            <w:tcW w:w="720" w:type="dxa"/>
            <w:vMerge w:val="restar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小计</w:t>
            </w:r>
          </w:p>
        </w:tc>
        <w:tc>
          <w:tcPr>
            <w:tcW w:w="479" w:type="dxa"/>
            <w:vMerge w:val="restar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房屋构筑物</w:t>
            </w:r>
          </w:p>
        </w:tc>
        <w:tc>
          <w:tcPr>
            <w:tcW w:w="776" w:type="dxa"/>
            <w:vMerge w:val="restar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车辆</w:t>
            </w:r>
          </w:p>
        </w:tc>
        <w:tc>
          <w:tcPr>
            <w:tcW w:w="779" w:type="dxa"/>
            <w:gridSpan w:val="2"/>
            <w:vMerge w:val="restar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单价</w:t>
            </w:r>
            <w:r>
              <w:rPr>
                <w:rFonts w:asciiTheme="minorEastAsia" w:hAnsiTheme="minorEastAsia" w:cstheme="minorEastAsia" w:hint="eastAsia"/>
                <w:color w:val="333333"/>
                <w:sz w:val="21"/>
                <w:szCs w:val="21"/>
              </w:rPr>
              <w:t>200</w:t>
            </w:r>
            <w:r>
              <w:rPr>
                <w:rFonts w:asciiTheme="minorEastAsia" w:hAnsiTheme="minorEastAsia" w:cstheme="minorEastAsia" w:hint="eastAsia"/>
                <w:color w:val="333333"/>
                <w:sz w:val="21"/>
                <w:szCs w:val="21"/>
              </w:rPr>
              <w:t>万以上大型设备</w:t>
            </w:r>
          </w:p>
        </w:tc>
        <w:tc>
          <w:tcPr>
            <w:tcW w:w="1364" w:type="dxa"/>
            <w:gridSpan w:val="3"/>
            <w:vMerge w:val="restart"/>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其他固定资产</w:t>
            </w:r>
          </w:p>
        </w:tc>
        <w:tc>
          <w:tcPr>
            <w:tcW w:w="794" w:type="dxa"/>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794" w:type="dxa"/>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674" w:type="dxa"/>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1363" w:type="dxa"/>
            <w:gridSpan w:val="4"/>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374" w:type="dxa"/>
            <w:gridSpan w:val="2"/>
            <w:tcBorders>
              <w:top w:val="nil"/>
              <w:left w:val="nil"/>
              <w:bottom w:val="nil"/>
              <w:right w:val="nil"/>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r>
      <w:tr>
        <w:tblPrEx>
          <w:tblW w:w="10485" w:type="dxa"/>
          <w:shd w:val="clear" w:color="auto" w:fill="FFFFFF"/>
          <w:tblLayout w:type="fixed"/>
          <w:tblCellMar>
            <w:left w:w="0" w:type="dxa"/>
            <w:right w:w="0" w:type="dxa"/>
          </w:tblCellMar>
          <w:tblLook w:val="04A0"/>
        </w:tblPrEx>
        <w:trPr>
          <w:trHeight w:val="420"/>
        </w:trPr>
        <w:tc>
          <w:tcPr>
            <w:tcW w:w="434" w:type="dxa"/>
            <w:vMerge/>
            <w:tcBorders>
              <w:top w:val="nil"/>
              <w:left w:val="single" w:sz="6" w:space="0" w:color="000000"/>
              <w:bottom w:val="single" w:sz="6" w:space="0" w:color="000000"/>
              <w:right w:val="single" w:sz="6" w:space="0" w:color="000000"/>
            </w:tcBorders>
            <w:shd w:val="clear" w:color="auto" w:fill="FFFFFF"/>
            <w:vAlign w:val="center"/>
          </w:tcPr>
          <w:p w:rsidR="00F17834">
            <w:pPr>
              <w:jc w:val="center"/>
              <w:rPr>
                <w:rFonts w:asciiTheme="minorEastAsia" w:hAnsiTheme="minorEastAsia" w:cstheme="minorEastAsia"/>
                <w:color w:val="333333"/>
                <w:szCs w:val="21"/>
              </w:rPr>
            </w:pPr>
          </w:p>
        </w:tc>
        <w:tc>
          <w:tcPr>
            <w:tcW w:w="539" w:type="dxa"/>
            <w:vMerge/>
            <w:tcBorders>
              <w:top w:val="nil"/>
              <w:left w:val="nil"/>
              <w:bottom w:val="single" w:sz="6" w:space="0" w:color="000000"/>
              <w:right w:val="single" w:sz="6" w:space="0" w:color="000000"/>
            </w:tcBorders>
            <w:shd w:val="clear" w:color="auto" w:fill="FFFFFF"/>
            <w:vAlign w:val="center"/>
          </w:tcPr>
          <w:p w:rsidR="00F17834">
            <w:pPr>
              <w:jc w:val="center"/>
              <w:rPr>
                <w:rFonts w:asciiTheme="minorEastAsia" w:hAnsiTheme="minorEastAsia" w:cstheme="minorEastAsia"/>
                <w:color w:val="333333"/>
                <w:szCs w:val="21"/>
              </w:rPr>
            </w:pPr>
          </w:p>
        </w:tc>
        <w:tc>
          <w:tcPr>
            <w:tcW w:w="705" w:type="dxa"/>
            <w:vMerge/>
            <w:tcBorders>
              <w:top w:val="nil"/>
              <w:left w:val="nil"/>
              <w:bottom w:val="single" w:sz="6" w:space="0" w:color="000000"/>
              <w:right w:val="single" w:sz="6" w:space="0" w:color="000000"/>
            </w:tcBorders>
            <w:shd w:val="clear" w:color="auto" w:fill="FFFFFF"/>
            <w:vAlign w:val="center"/>
          </w:tcPr>
          <w:p w:rsidR="00F17834">
            <w:pPr>
              <w:jc w:val="center"/>
              <w:rPr>
                <w:rFonts w:asciiTheme="minorEastAsia" w:hAnsiTheme="minorEastAsia" w:cstheme="minorEastAsia"/>
                <w:color w:val="333333"/>
                <w:szCs w:val="21"/>
              </w:rPr>
            </w:pPr>
          </w:p>
        </w:tc>
        <w:tc>
          <w:tcPr>
            <w:tcW w:w="690" w:type="dxa"/>
            <w:vMerge/>
            <w:tcBorders>
              <w:top w:val="nil"/>
              <w:left w:val="nil"/>
              <w:bottom w:val="single" w:sz="6" w:space="0" w:color="000000"/>
              <w:right w:val="single" w:sz="6" w:space="0" w:color="000000"/>
            </w:tcBorders>
            <w:shd w:val="clear" w:color="auto" w:fill="FFFFFF"/>
            <w:vAlign w:val="center"/>
          </w:tcPr>
          <w:p w:rsidR="00F17834">
            <w:pPr>
              <w:jc w:val="center"/>
              <w:rPr>
                <w:rFonts w:asciiTheme="minorEastAsia" w:hAnsiTheme="minorEastAsia" w:cstheme="minorEastAsia"/>
                <w:color w:val="333333"/>
                <w:szCs w:val="21"/>
              </w:rPr>
            </w:pPr>
          </w:p>
        </w:tc>
        <w:tc>
          <w:tcPr>
            <w:tcW w:w="720" w:type="dxa"/>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479" w:type="dxa"/>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776" w:type="dxa"/>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779" w:type="dxa"/>
            <w:gridSpan w:val="2"/>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1364" w:type="dxa"/>
            <w:gridSpan w:val="3"/>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794" w:type="dxa"/>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794" w:type="dxa"/>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674" w:type="dxa"/>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1363" w:type="dxa"/>
            <w:gridSpan w:val="4"/>
            <w:vMerge/>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jc w:val="center"/>
              <w:rPr>
                <w:rFonts w:asciiTheme="minorEastAsia" w:hAnsiTheme="minorEastAsia" w:cstheme="minorEastAsia"/>
                <w:color w:val="333333"/>
                <w:szCs w:val="21"/>
              </w:rPr>
            </w:pPr>
          </w:p>
        </w:tc>
        <w:tc>
          <w:tcPr>
            <w:tcW w:w="374" w:type="dxa"/>
            <w:gridSpan w:val="2"/>
            <w:tcBorders>
              <w:top w:val="nil"/>
              <w:left w:val="nil"/>
              <w:bottom w:val="single" w:sz="6" w:space="0" w:color="DDDDDD"/>
              <w:right w:val="nil"/>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r>
      <w:tr>
        <w:tblPrEx>
          <w:tblW w:w="10485" w:type="dxa"/>
          <w:shd w:val="clear" w:color="auto" w:fill="FFFFFF"/>
          <w:tblLayout w:type="fixed"/>
          <w:tblCellMar>
            <w:left w:w="0" w:type="dxa"/>
            <w:right w:w="0" w:type="dxa"/>
          </w:tblCellMar>
          <w:tblLook w:val="04A0"/>
        </w:tblPrEx>
        <w:trPr>
          <w:trHeight w:val="330"/>
        </w:trPr>
        <w:tc>
          <w:tcPr>
            <w:tcW w:w="434" w:type="dxa"/>
            <w:tcBorders>
              <w:top w:val="nil"/>
              <w:left w:val="single" w:sz="6" w:space="0" w:color="000000"/>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栏次</w:t>
            </w:r>
          </w:p>
        </w:tc>
        <w:tc>
          <w:tcPr>
            <w:tcW w:w="539" w:type="dxa"/>
            <w:tcBorders>
              <w:top w:val="nil"/>
              <w:left w:val="nil"/>
              <w:bottom w:val="single" w:sz="6" w:space="0" w:color="000000"/>
              <w:right w:val="single" w:sz="6" w:space="0" w:color="000000"/>
            </w:tcBorders>
            <w:shd w:val="clear" w:color="auto" w:fill="FFFFFF"/>
            <w:vAlign w:val="center"/>
          </w:tcPr>
          <w:p w:rsidR="00F17834">
            <w:pPr>
              <w:widowControl/>
              <w:spacing w:after="0" w:line="600" w:lineRule="atLeast"/>
              <w:jc w:val="center"/>
              <w:rPr>
                <w:rFonts w:asciiTheme="minorEastAsia" w:hAnsiTheme="minorEastAsia" w:cstheme="minorEastAsia"/>
                <w:color w:val="333333"/>
                <w:szCs w:val="21"/>
              </w:rPr>
            </w:pPr>
          </w:p>
        </w:tc>
        <w:tc>
          <w:tcPr>
            <w:tcW w:w="705"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1</w:t>
            </w:r>
          </w:p>
        </w:tc>
        <w:tc>
          <w:tcPr>
            <w:tcW w:w="690"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2</w:t>
            </w:r>
          </w:p>
        </w:tc>
        <w:tc>
          <w:tcPr>
            <w:tcW w:w="720"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3</w:t>
            </w:r>
          </w:p>
        </w:tc>
        <w:tc>
          <w:tcPr>
            <w:tcW w:w="479"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4</w:t>
            </w:r>
          </w:p>
        </w:tc>
        <w:tc>
          <w:tcPr>
            <w:tcW w:w="776"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5</w:t>
            </w:r>
          </w:p>
        </w:tc>
        <w:tc>
          <w:tcPr>
            <w:tcW w:w="779" w:type="dxa"/>
            <w:gridSpan w:val="2"/>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6</w:t>
            </w:r>
          </w:p>
        </w:tc>
        <w:tc>
          <w:tcPr>
            <w:tcW w:w="1364" w:type="dxa"/>
            <w:gridSpan w:val="3"/>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7</w:t>
            </w:r>
          </w:p>
        </w:tc>
        <w:tc>
          <w:tcPr>
            <w:tcW w:w="794"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8</w:t>
            </w:r>
          </w:p>
        </w:tc>
        <w:tc>
          <w:tcPr>
            <w:tcW w:w="794"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9</w:t>
            </w:r>
          </w:p>
        </w:tc>
        <w:tc>
          <w:tcPr>
            <w:tcW w:w="674"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10</w:t>
            </w:r>
          </w:p>
        </w:tc>
        <w:tc>
          <w:tcPr>
            <w:tcW w:w="1363" w:type="dxa"/>
            <w:gridSpan w:val="4"/>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11</w:t>
            </w:r>
          </w:p>
        </w:tc>
        <w:tc>
          <w:tcPr>
            <w:tcW w:w="374" w:type="dxa"/>
            <w:gridSpan w:val="2"/>
            <w:tcBorders>
              <w:top w:val="nil"/>
              <w:left w:val="nil"/>
              <w:bottom w:val="single" w:sz="6" w:space="0" w:color="DDDDDD"/>
              <w:right w:val="nil"/>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r>
      <w:tr>
        <w:tblPrEx>
          <w:tblW w:w="10485" w:type="dxa"/>
          <w:shd w:val="clear" w:color="auto" w:fill="FFFFFF"/>
          <w:tblLayout w:type="fixed"/>
          <w:tblCellMar>
            <w:left w:w="0" w:type="dxa"/>
            <w:right w:w="0" w:type="dxa"/>
          </w:tblCellMar>
          <w:tblLook w:val="04A0"/>
        </w:tblPrEx>
        <w:trPr>
          <w:trHeight w:val="570"/>
        </w:trPr>
        <w:tc>
          <w:tcPr>
            <w:tcW w:w="434" w:type="dxa"/>
            <w:tcBorders>
              <w:top w:val="nil"/>
              <w:left w:val="single" w:sz="6" w:space="0" w:color="000000"/>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合计</w:t>
            </w:r>
          </w:p>
        </w:tc>
        <w:tc>
          <w:tcPr>
            <w:tcW w:w="539"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textAlignment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1</w:t>
            </w:r>
          </w:p>
        </w:tc>
        <w:tc>
          <w:tcPr>
            <w:tcW w:w="705"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135</w:t>
            </w:r>
          </w:p>
        </w:tc>
        <w:tc>
          <w:tcPr>
            <w:tcW w:w="690"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35</w:t>
            </w:r>
          </w:p>
        </w:tc>
        <w:tc>
          <w:tcPr>
            <w:tcW w:w="720"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100</w:t>
            </w:r>
          </w:p>
        </w:tc>
        <w:tc>
          <w:tcPr>
            <w:tcW w:w="479" w:type="dxa"/>
            <w:tcBorders>
              <w:top w:val="nil"/>
              <w:left w:val="nil"/>
              <w:bottom w:val="single" w:sz="6" w:space="0" w:color="000000"/>
              <w:right w:val="single" w:sz="6" w:space="0" w:color="000000"/>
            </w:tcBorders>
            <w:shd w:val="clear" w:color="auto" w:fill="FFFFFF"/>
            <w:vAlign w:val="center"/>
          </w:tcPr>
          <w:p w:rsidR="00F17834">
            <w:pPr>
              <w:widowControl/>
              <w:spacing w:after="0" w:line="600" w:lineRule="atLeast"/>
              <w:jc w:val="center"/>
              <w:rPr>
                <w:rFonts w:asciiTheme="minorEastAsia" w:hAnsiTheme="minorEastAsia" w:cstheme="minorEastAsia"/>
                <w:color w:val="333333"/>
                <w:szCs w:val="21"/>
              </w:rPr>
            </w:pPr>
          </w:p>
        </w:tc>
        <w:tc>
          <w:tcPr>
            <w:tcW w:w="776" w:type="dxa"/>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53</w:t>
            </w:r>
          </w:p>
        </w:tc>
        <w:tc>
          <w:tcPr>
            <w:tcW w:w="779" w:type="dxa"/>
            <w:gridSpan w:val="2"/>
            <w:tcBorders>
              <w:top w:val="nil"/>
              <w:left w:val="nil"/>
              <w:bottom w:val="single" w:sz="6" w:space="0" w:color="000000"/>
              <w:right w:val="single" w:sz="6" w:space="0" w:color="000000"/>
            </w:tcBorders>
            <w:shd w:val="clear" w:color="auto" w:fill="FFFFFF"/>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0</w:t>
            </w:r>
          </w:p>
        </w:tc>
        <w:tc>
          <w:tcPr>
            <w:tcW w:w="1364" w:type="dxa"/>
            <w:gridSpan w:val="3"/>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47</w:t>
            </w:r>
          </w:p>
        </w:tc>
        <w:tc>
          <w:tcPr>
            <w:tcW w:w="794"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0</w:t>
            </w:r>
          </w:p>
        </w:tc>
        <w:tc>
          <w:tcPr>
            <w:tcW w:w="794"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0</w:t>
            </w:r>
          </w:p>
        </w:tc>
        <w:tc>
          <w:tcPr>
            <w:tcW w:w="674" w:type="dxa"/>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0</w:t>
            </w:r>
          </w:p>
        </w:tc>
        <w:tc>
          <w:tcPr>
            <w:tcW w:w="1363" w:type="dxa"/>
            <w:gridSpan w:val="4"/>
            <w:tcBorders>
              <w:top w:val="nil"/>
              <w:left w:val="nil"/>
              <w:bottom w:val="single" w:sz="6" w:space="0" w:color="000000"/>
              <w:right w:val="single" w:sz="6" w:space="0" w:color="000000"/>
            </w:tcBorders>
            <w:shd w:val="clear" w:color="auto" w:fill="FFFFFF"/>
            <w:tcMar>
              <w:top w:w="15" w:type="dxa"/>
              <w:left w:w="15" w:type="dxa"/>
              <w:bottom w:w="15" w:type="dxa"/>
              <w:right w:w="15" w:type="dxa"/>
            </w:tcMar>
            <w:vAlign w:val="center"/>
          </w:tcPr>
          <w:p w:rsidR="00F17834">
            <w:pPr>
              <w:pStyle w:val="NormalWeb"/>
              <w:widowControl/>
              <w:spacing w:beforeAutospacing="0" w:afterAutospacing="0" w:line="480" w:lineRule="atLeast"/>
              <w:jc w:val="center"/>
              <w:rPr>
                <w:rFonts w:asciiTheme="minorEastAsia" w:hAnsiTheme="minorEastAsia" w:cstheme="minorEastAsia"/>
                <w:sz w:val="21"/>
                <w:szCs w:val="21"/>
              </w:rPr>
            </w:pPr>
            <w:r>
              <w:rPr>
                <w:rFonts w:asciiTheme="minorEastAsia" w:hAnsiTheme="minorEastAsia" w:cstheme="minorEastAsia" w:hint="eastAsia"/>
                <w:color w:val="333333"/>
                <w:sz w:val="21"/>
                <w:szCs w:val="21"/>
              </w:rPr>
              <w:t>0</w:t>
            </w:r>
          </w:p>
        </w:tc>
        <w:tc>
          <w:tcPr>
            <w:tcW w:w="374" w:type="dxa"/>
            <w:gridSpan w:val="2"/>
            <w:tcBorders>
              <w:top w:val="nil"/>
              <w:left w:val="nil"/>
              <w:bottom w:val="single" w:sz="6" w:space="0" w:color="DDDDDD"/>
              <w:right w:val="nil"/>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r>
      <w:tr>
        <w:tblPrEx>
          <w:tblW w:w="10485" w:type="dxa"/>
          <w:shd w:val="clear" w:color="auto" w:fill="FFFFFF"/>
          <w:tblLayout w:type="fixed"/>
          <w:tblCellMar>
            <w:left w:w="0" w:type="dxa"/>
            <w:right w:w="0" w:type="dxa"/>
          </w:tblCellMar>
          <w:tblLook w:val="04A0"/>
        </w:tblPrEx>
        <w:trPr>
          <w:trHeight w:val="255"/>
        </w:trPr>
        <w:tc>
          <w:tcPr>
            <w:tcW w:w="8074" w:type="dxa"/>
            <w:gridSpan w:val="14"/>
            <w:tcBorders>
              <w:top w:val="nil"/>
              <w:left w:val="nil"/>
              <w:bottom w:val="nil"/>
              <w:right w:val="nil"/>
            </w:tcBorders>
            <w:shd w:val="clear" w:color="auto" w:fill="FFFFFF"/>
            <w:vAlign w:val="bottom"/>
          </w:tcPr>
          <w:p w:rsidR="00F17834">
            <w:pPr>
              <w:widowControl/>
              <w:spacing w:after="0" w:line="600" w:lineRule="atLeast"/>
              <w:jc w:val="left"/>
              <w:rPr>
                <w:rFonts w:ascii="仿宋_GB2312" w:eastAsia="仿宋_GB2312" w:hAnsi="仿宋_GB2312" w:cs="仿宋_GB2312"/>
                <w:color w:val="333333"/>
                <w:sz w:val="32"/>
                <w:szCs w:val="32"/>
              </w:rPr>
            </w:pPr>
          </w:p>
        </w:tc>
        <w:tc>
          <w:tcPr>
            <w:tcW w:w="674" w:type="dxa"/>
            <w:tcBorders>
              <w:top w:val="single" w:sz="6" w:space="0" w:color="DDDDDD"/>
              <w:left w:val="nil"/>
              <w:bottom w:val="single" w:sz="6" w:space="0" w:color="DDDDDD"/>
              <w:right w:val="single" w:sz="6" w:space="0" w:color="DDDDDD"/>
            </w:tcBorders>
            <w:shd w:val="clear" w:color="auto" w:fill="FFFFFF"/>
            <w:tcMar>
              <w:top w:w="15" w:type="dxa"/>
              <w:left w:w="15" w:type="dxa"/>
              <w:bottom w:w="15" w:type="dxa"/>
              <w:right w:w="15" w:type="dxa"/>
            </w:tcMar>
            <w:vAlign w:val="bottom"/>
          </w:tcPr>
          <w:p w:rsidR="00F17834">
            <w:pPr>
              <w:widowControl/>
              <w:spacing w:after="0" w:line="600" w:lineRule="atLeast"/>
              <w:jc w:val="left"/>
              <w:rPr>
                <w:rFonts w:ascii="仿宋_GB2312" w:eastAsia="仿宋_GB2312" w:hAnsi="仿宋_GB2312" w:cs="仿宋_GB2312"/>
                <w:color w:val="333333"/>
                <w:sz w:val="32"/>
                <w:szCs w:val="32"/>
              </w:rPr>
            </w:pPr>
          </w:p>
        </w:tc>
        <w:tc>
          <w:tcPr>
            <w:tcW w:w="973" w:type="dxa"/>
            <w:gridSpan w:val="2"/>
            <w:tcBorders>
              <w:top w:val="single" w:sz="6" w:space="0" w:color="DDDDDD"/>
              <w:left w:val="nil"/>
              <w:bottom w:val="single" w:sz="6" w:space="0" w:color="DDDDDD"/>
              <w:right w:val="single" w:sz="6" w:space="0" w:color="DDDDDD"/>
            </w:tcBorders>
            <w:shd w:val="clear" w:color="auto" w:fill="FFFFFF"/>
            <w:tcMar>
              <w:top w:w="15" w:type="dxa"/>
              <w:left w:w="15" w:type="dxa"/>
              <w:bottom w:w="15" w:type="dxa"/>
              <w:right w:w="15" w:type="dxa"/>
            </w:tcMar>
            <w:vAlign w:val="bottom"/>
          </w:tcPr>
          <w:p w:rsidR="00F17834">
            <w:pPr>
              <w:widowControl/>
              <w:spacing w:after="0" w:line="600" w:lineRule="atLeast"/>
              <w:jc w:val="left"/>
              <w:rPr>
                <w:rFonts w:ascii="仿宋_GB2312" w:eastAsia="仿宋_GB2312" w:hAnsi="仿宋_GB2312" w:cs="仿宋_GB2312"/>
                <w:color w:val="333333"/>
                <w:sz w:val="32"/>
                <w:szCs w:val="32"/>
              </w:rPr>
            </w:pPr>
          </w:p>
        </w:tc>
        <w:tc>
          <w:tcPr>
            <w:tcW w:w="150" w:type="dxa"/>
            <w:tcBorders>
              <w:top w:val="single" w:sz="6" w:space="0" w:color="DDDDDD"/>
              <w:left w:val="nil"/>
              <w:bottom w:val="single" w:sz="6" w:space="0" w:color="DDDDDD"/>
              <w:right w:val="single" w:sz="6" w:space="0" w:color="DDDDDD"/>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c>
          <w:tcPr>
            <w:tcW w:w="614" w:type="dxa"/>
            <w:gridSpan w:val="3"/>
            <w:tcBorders>
              <w:top w:val="single" w:sz="6" w:space="0" w:color="DDDDDD"/>
              <w:left w:val="single" w:sz="6" w:space="0" w:color="DDDDDD"/>
              <w:bottom w:val="single" w:sz="6" w:space="0" w:color="DDDDDD"/>
              <w:right w:val="single" w:sz="6" w:space="0" w:color="DDDDDD"/>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r>
      <w:tr>
        <w:tblPrEx>
          <w:tblW w:w="10485" w:type="dxa"/>
          <w:shd w:val="clear" w:color="auto" w:fill="FFFFFF"/>
          <w:tblLayout w:type="fixed"/>
          <w:tblCellMar>
            <w:left w:w="0" w:type="dxa"/>
            <w:right w:w="0" w:type="dxa"/>
          </w:tblCellMar>
          <w:tblLook w:val="04A0"/>
        </w:tblPrEx>
        <w:trPr>
          <w:trHeight w:val="495"/>
        </w:trPr>
        <w:tc>
          <w:tcPr>
            <w:tcW w:w="9362" w:type="dxa"/>
            <w:gridSpan w:val="16"/>
            <w:tcBorders>
              <w:top w:val="nil"/>
              <w:left w:val="nil"/>
              <w:bottom w:val="single" w:sz="6" w:space="0" w:color="DDDDDD"/>
              <w:right w:val="nil"/>
            </w:tcBorders>
            <w:shd w:val="clear" w:color="auto" w:fill="FFFFFF"/>
            <w:tcMar>
              <w:top w:w="15" w:type="dxa"/>
              <w:left w:w="15" w:type="dxa"/>
              <w:bottom w:w="15" w:type="dxa"/>
              <w:right w:w="15" w:type="dxa"/>
            </w:tcMar>
            <w:vAlign w:val="bottom"/>
          </w:tcPr>
          <w:p w:rsidR="00F17834">
            <w:pPr>
              <w:pStyle w:val="NormalWeb"/>
              <w:widowControl/>
              <w:spacing w:beforeAutospacing="0" w:afterAutospacing="0" w:line="480" w:lineRule="atLeast"/>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填报说明：</w:t>
            </w:r>
            <w:r>
              <w:rPr>
                <w:rFonts w:ascii="仿宋_GB2312" w:eastAsia="仿宋_GB2312" w:hAnsi="仿宋_GB2312" w:cs="仿宋_GB2312" w:hint="eastAsia"/>
                <w:color w:val="333333"/>
                <w:sz w:val="32"/>
                <w:szCs w:val="32"/>
              </w:rPr>
              <w:t>1.</w:t>
            </w:r>
            <w:r>
              <w:rPr>
                <w:rFonts w:ascii="仿宋_GB2312" w:eastAsia="仿宋_GB2312" w:hAnsi="仿宋_GB2312" w:cs="仿宋_GB2312" w:hint="eastAsia"/>
                <w:color w:val="333333"/>
                <w:sz w:val="32"/>
                <w:szCs w:val="32"/>
              </w:rPr>
              <w:t>资产总额＝流动资产＋固定资产＋对外投资／有价证券＋在建工程＋无形资产＋其他资产</w:t>
            </w:r>
          </w:p>
          <w:p w:rsidR="00F17834">
            <w:pPr>
              <w:pStyle w:val="NormalWeb"/>
              <w:widowControl/>
              <w:spacing w:beforeAutospacing="0" w:afterAutospacing="0" w:line="480" w:lineRule="atLeast"/>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2.</w:t>
            </w:r>
            <w:r>
              <w:rPr>
                <w:rFonts w:ascii="仿宋_GB2312" w:eastAsia="仿宋_GB2312" w:hAnsi="仿宋_GB2312" w:cs="仿宋_GB2312" w:hint="eastAsia"/>
                <w:color w:val="333333"/>
                <w:sz w:val="32"/>
                <w:szCs w:val="32"/>
              </w:rPr>
              <w:t>固定资产＝房屋构筑物＋车辆＋单价</w:t>
            </w:r>
            <w:r>
              <w:rPr>
                <w:rFonts w:ascii="仿宋_GB2312" w:eastAsia="仿宋_GB2312" w:hAnsi="仿宋_GB2312" w:cs="仿宋_GB2312" w:hint="eastAsia"/>
                <w:color w:val="333333"/>
                <w:sz w:val="32"/>
                <w:szCs w:val="32"/>
              </w:rPr>
              <w:t>200</w:t>
            </w:r>
            <w:r>
              <w:rPr>
                <w:rFonts w:ascii="仿宋_GB2312" w:eastAsia="仿宋_GB2312" w:hAnsi="仿宋_GB2312" w:cs="仿宋_GB2312" w:hint="eastAsia"/>
                <w:color w:val="333333"/>
                <w:sz w:val="32"/>
                <w:szCs w:val="32"/>
              </w:rPr>
              <w:t>万元以上大型设备＋其他固定资产</w:t>
            </w:r>
          </w:p>
        </w:tc>
        <w:tc>
          <w:tcPr>
            <w:tcW w:w="973" w:type="dxa"/>
            <w:gridSpan w:val="4"/>
            <w:tcBorders>
              <w:top w:val="single" w:sz="6" w:space="0" w:color="DDDDDD"/>
              <w:left w:val="nil"/>
              <w:bottom w:val="single" w:sz="6" w:space="0" w:color="DDDDDD"/>
              <w:right w:val="single" w:sz="6" w:space="0" w:color="DDDDDD"/>
            </w:tcBorders>
            <w:shd w:val="clear" w:color="auto" w:fill="FFFFFF"/>
            <w:tcMar>
              <w:top w:w="15" w:type="dxa"/>
              <w:left w:w="15" w:type="dxa"/>
              <w:bottom w:w="15" w:type="dxa"/>
              <w:right w:w="15" w:type="dxa"/>
            </w:tcMar>
            <w:vAlign w:val="bottom"/>
          </w:tcPr>
          <w:p w:rsidR="00F17834">
            <w:pPr>
              <w:widowControl/>
              <w:spacing w:after="0" w:line="600" w:lineRule="atLeast"/>
              <w:jc w:val="left"/>
              <w:rPr>
                <w:rFonts w:ascii="仿宋_GB2312" w:eastAsia="仿宋_GB2312" w:hAnsi="仿宋_GB2312" w:cs="仿宋_GB2312"/>
                <w:color w:val="333333"/>
                <w:sz w:val="32"/>
                <w:szCs w:val="32"/>
              </w:rPr>
            </w:pPr>
          </w:p>
        </w:tc>
        <w:tc>
          <w:tcPr>
            <w:tcW w:w="150" w:type="dxa"/>
            <w:tcBorders>
              <w:top w:val="single" w:sz="6" w:space="0" w:color="DDDDDD"/>
              <w:left w:val="single" w:sz="6" w:space="0" w:color="DDDDDD"/>
              <w:bottom w:val="single" w:sz="6" w:space="0" w:color="DDDDDD"/>
              <w:right w:val="single" w:sz="6" w:space="0" w:color="DDDDDD"/>
            </w:tcBorders>
            <w:shd w:val="clear" w:color="auto" w:fill="FFFFFF"/>
            <w:vAlign w:val="center"/>
          </w:tcPr>
          <w:p w:rsidR="00F17834">
            <w:pPr>
              <w:widowControl/>
              <w:spacing w:after="0" w:line="600" w:lineRule="atLeast"/>
              <w:jc w:val="left"/>
              <w:rPr>
                <w:rFonts w:ascii="仿宋_GB2312" w:eastAsia="仿宋_GB2312" w:hAnsi="仿宋_GB2312" w:cs="仿宋_GB2312"/>
                <w:color w:val="333333"/>
                <w:sz w:val="32"/>
                <w:szCs w:val="32"/>
              </w:rPr>
            </w:pPr>
          </w:p>
        </w:tc>
      </w:tr>
    </w:tbl>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三、政府采购支出情况</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2018</w:t>
      </w:r>
      <w:r>
        <w:rPr>
          <w:rFonts w:ascii="仿宋_GB2312" w:eastAsia="仿宋_GB2312" w:hAnsi="仿宋_GB2312" w:cs="仿宋_GB2312" w:hint="eastAsia"/>
          <w:color w:val="333333"/>
          <w:sz w:val="32"/>
          <w:szCs w:val="32"/>
          <w:shd w:val="clear" w:color="auto" w:fill="FFFFFF"/>
        </w:rPr>
        <w:t>年度，部门政府采购支出总额</w:t>
      </w:r>
      <w:r>
        <w:rPr>
          <w:rFonts w:ascii="仿宋_GB2312" w:eastAsia="仿宋_GB2312" w:hAnsi="仿宋_GB2312" w:cs="仿宋_GB2312" w:hint="eastAsia"/>
          <w:color w:val="333333"/>
          <w:sz w:val="32"/>
          <w:szCs w:val="32"/>
          <w:shd w:val="clear" w:color="auto" w:fill="FFFFFF"/>
        </w:rPr>
        <w:t>0</w:t>
      </w:r>
      <w:r>
        <w:rPr>
          <w:rFonts w:ascii="仿宋_GB2312" w:eastAsia="仿宋_GB2312" w:hAnsi="仿宋_GB2312" w:cs="仿宋_GB2312" w:hint="eastAsia"/>
          <w:color w:val="333333"/>
          <w:sz w:val="32"/>
          <w:szCs w:val="32"/>
          <w:shd w:val="clear" w:color="auto" w:fill="FFFFFF"/>
        </w:rPr>
        <w:t>万元</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四、部门绩效自评情况</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部门绩效自评情况详见附表（附表</w:t>
      </w:r>
      <w:r>
        <w:rPr>
          <w:rFonts w:ascii="仿宋_GB2312" w:eastAsia="仿宋_GB2312" w:hAnsi="仿宋_GB2312" w:cs="仿宋_GB2312" w:hint="eastAsia"/>
          <w:color w:val="333333"/>
          <w:sz w:val="32"/>
          <w:szCs w:val="32"/>
          <w:shd w:val="clear" w:color="auto" w:fill="FFFFFF"/>
        </w:rPr>
        <w:t>10</w:t>
      </w:r>
      <w:r>
        <w:rPr>
          <w:rFonts w:ascii="仿宋_GB2312" w:eastAsia="仿宋_GB2312" w:hAnsi="仿宋_GB2312" w:cs="仿宋_GB2312" w:hint="eastAsia"/>
          <w:color w:val="333333"/>
          <w:sz w:val="32"/>
          <w:szCs w:val="32"/>
          <w:shd w:val="clear" w:color="auto" w:fill="FFFFFF"/>
        </w:rPr>
        <w:t>—附表</w:t>
      </w:r>
      <w:r>
        <w:rPr>
          <w:rFonts w:ascii="仿宋_GB2312" w:eastAsia="仿宋_GB2312" w:hAnsi="仿宋_GB2312" w:cs="仿宋_GB2312" w:hint="eastAsia"/>
          <w:color w:val="333333"/>
          <w:sz w:val="32"/>
          <w:szCs w:val="32"/>
          <w:shd w:val="clear" w:color="auto" w:fill="FFFFFF"/>
        </w:rPr>
        <w:t>14</w:t>
      </w:r>
      <w:r>
        <w:rPr>
          <w:rFonts w:ascii="仿宋_GB2312" w:eastAsia="仿宋_GB2312" w:hAnsi="仿宋_GB2312" w:cs="仿宋_GB2312" w:hint="eastAsia"/>
          <w:color w:val="333333"/>
          <w:sz w:val="32"/>
          <w:szCs w:val="32"/>
          <w:shd w:val="clear" w:color="auto" w:fill="FFFFFF"/>
        </w:rPr>
        <w:t>）。</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五、其他重要事项情况说明</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迪庆州</w:t>
      </w:r>
      <w:r>
        <w:rPr>
          <w:rFonts w:ascii="仿宋_GB2312" w:eastAsia="仿宋_GB2312" w:hAnsi="仿宋_GB2312" w:cs="仿宋_GB2312" w:hint="eastAsia"/>
          <w:color w:val="333333"/>
          <w:sz w:val="32"/>
          <w:szCs w:val="32"/>
          <w:shd w:val="clear" w:color="auto" w:fill="FFFFFF"/>
        </w:rPr>
        <w:t>城乡规划管理局</w:t>
      </w:r>
      <w:r>
        <w:rPr>
          <w:rFonts w:ascii="仿宋_GB2312" w:eastAsia="仿宋_GB2312" w:hAnsi="仿宋_GB2312" w:cs="仿宋_GB2312" w:hint="eastAsia"/>
          <w:color w:val="333333"/>
          <w:sz w:val="32"/>
          <w:szCs w:val="32"/>
          <w:shd w:val="clear" w:color="auto" w:fill="FFFFFF"/>
        </w:rPr>
        <w:t>无其他重要事项情况说明。</w:t>
      </w:r>
    </w:p>
    <w:p w:rsidR="00F17834">
      <w:pPr>
        <w:pStyle w:val="NormalWeb"/>
        <w:widowControl/>
        <w:shd w:val="clear" w:color="auto" w:fill="FFFFFF"/>
        <w:spacing w:before="105" w:beforeAutospacing="0" w:after="105" w:afterAutospacing="0" w:line="36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六、相关口径说明</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（一）基本支出中人员经费包括工资福利支出和对个人和家庭的补助，日常公用支出包括商品和服务支出、资本性支出等人员经费以外的支出。</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（二）机关运行经费指行政单位和参照公务员法管理的事业单位使用一般公共预算财政拨款安排的基本支出中的日常公用经费支出。</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三）按照党中央、国务院有关文件及部门预算管理有关规定，“三公”经费包括因公出国（境）费、公务用车购置及运行维护费、公务接待费。其中：因公出国（境）费，指单位工作人员公务出国（境）的国际旅费、国外城市间交通费、住宿费、伙食费、培训费、公杂费等支出；</w:t>
      </w:r>
      <w:r>
        <w:rPr>
          <w:rFonts w:ascii="仿宋_GB2312" w:eastAsia="仿宋_GB2312" w:hAnsi="仿宋_GB2312" w:cs="仿宋_GB2312" w:hint="eastAsia"/>
          <w:color w:val="333333"/>
          <w:sz w:val="32"/>
          <w:szCs w:val="32"/>
          <w:shd w:val="clear" w:color="auto" w:fill="FFFFFF"/>
        </w:rPr>
        <w:t>公务用车购置费，指单位公务用车车辆购置支出（</w:t>
      </w:r>
      <w:r>
        <w:rPr>
          <w:rFonts w:ascii="仿宋_GB2312" w:eastAsia="仿宋_GB2312" w:hAnsi="仿宋_GB2312" w:cs="仿宋_GB2312" w:hint="eastAsia"/>
          <w:color w:val="333333"/>
          <w:sz w:val="32"/>
          <w:szCs w:val="32"/>
          <w:shd w:val="clear" w:color="auto" w:fill="FFFFFF"/>
        </w:rPr>
        <w:t>含车辆</w:t>
      </w:r>
      <w:r>
        <w:rPr>
          <w:rFonts w:ascii="仿宋_GB2312" w:eastAsia="仿宋_GB2312" w:hAnsi="仿宋_GB2312" w:cs="仿宋_GB2312" w:hint="eastAsia"/>
          <w:color w:val="333333"/>
          <w:sz w:val="32"/>
          <w:szCs w:val="32"/>
          <w:shd w:val="clear" w:color="auto" w:fill="FFFFFF"/>
        </w:rPr>
        <w:t>购置税、牌照费等）；公务用车运行维护费，指单位按规定保留的公务用车燃料费、维修费、过桥过路费、保险费、安全奖励费用等支出；公务用车指用于履行公务的机动车辆，包括省部级干部专车、一般公务用车和执法执勤用车；公务接待费，指单位按规定开支的各类公务接待（含外宾接待）费用。</w:t>
      </w:r>
    </w:p>
    <w:p w:rsidR="00F17834">
      <w:pPr>
        <w:pStyle w:val="NormalWeb"/>
        <w:widowControl/>
        <w:shd w:val="clear" w:color="auto" w:fill="FFFFFF"/>
        <w:spacing w:beforeAutospacing="0" w:afterAutospacing="0" w:line="480" w:lineRule="atLeast"/>
        <w:ind w:firstLine="600"/>
        <w:rPr>
          <w:rFonts w:ascii="仿宋_GB2312" w:eastAsia="仿宋_GB2312" w:hAnsi="仿宋_GB2312" w:cs="仿宋_GB2312"/>
          <w:color w:val="333333"/>
          <w:sz w:val="32"/>
          <w:szCs w:val="32"/>
        </w:rPr>
      </w:pPr>
    </w:p>
    <w:p w:rsidR="00F17834">
      <w:pPr>
        <w:pStyle w:val="NormalWeb"/>
        <w:widowControl/>
        <w:shd w:val="clear" w:color="auto" w:fill="FFFFFF"/>
        <w:spacing w:beforeAutospacing="0" w:afterAutospacing="0" w:line="480" w:lineRule="atLeast"/>
        <w:ind w:firstLine="645"/>
        <w:jc w:val="center"/>
        <w:rPr>
          <w:rFonts w:ascii="黑体" w:eastAsia="黑体" w:hAnsi="黑体" w:cs="黑体"/>
          <w:color w:val="333333"/>
          <w:sz w:val="32"/>
          <w:szCs w:val="32"/>
        </w:rPr>
      </w:pPr>
      <w:r>
        <w:rPr>
          <w:rFonts w:ascii="黑体" w:eastAsia="黑体" w:hAnsi="黑体" w:cs="黑体" w:hint="eastAsia"/>
          <w:color w:val="333333"/>
          <w:sz w:val="32"/>
          <w:szCs w:val="32"/>
          <w:shd w:val="clear" w:color="auto" w:fill="FFFFFF"/>
        </w:rPr>
        <w:t>第五部分</w:t>
      </w:r>
      <w:r>
        <w:rPr>
          <w:rFonts w:ascii="黑体" w:eastAsia="黑体" w:hAnsi="黑体" w:cs="黑体" w:hint="eastAsia"/>
          <w:color w:val="333333"/>
          <w:sz w:val="32"/>
          <w:szCs w:val="32"/>
          <w:shd w:val="clear" w:color="auto" w:fill="FFFFFF"/>
        </w:rPr>
        <w:t>  </w:t>
      </w:r>
      <w:r>
        <w:rPr>
          <w:rFonts w:ascii="黑体" w:eastAsia="黑体" w:hAnsi="黑体" w:cs="黑体" w:hint="eastAsia"/>
          <w:color w:val="333333"/>
          <w:sz w:val="32"/>
          <w:szCs w:val="32"/>
          <w:shd w:val="clear" w:color="auto" w:fill="FFFFFF"/>
        </w:rPr>
        <w:t>名词解释</w:t>
      </w:r>
    </w:p>
    <w:p w:rsidR="00F17834">
      <w:pPr>
        <w:pStyle w:val="NormalWeb"/>
        <w:widowControl/>
        <w:shd w:val="clear" w:color="auto" w:fill="FFFFFF"/>
        <w:spacing w:beforeAutospacing="0" w:afterAutospacing="0" w:line="480" w:lineRule="atLeast"/>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“三公”经费决算数：指各部门（含下属单位）当年通过本级财政一般公共预算财政拨款和以前年度一般公共预算财政拨款结转结余资金安排的因公出国（境）费、公务用车购置及运行维护费和</w:t>
      </w:r>
      <w:r>
        <w:rPr>
          <w:rFonts w:ascii="仿宋_GB2312" w:eastAsia="仿宋_GB2312" w:hAnsi="仿宋_GB2312" w:cs="仿宋_GB2312" w:hint="eastAsia"/>
          <w:color w:val="333333"/>
          <w:sz w:val="32"/>
          <w:szCs w:val="32"/>
          <w:shd w:val="clear" w:color="auto" w:fill="FFFFFF"/>
        </w:rPr>
        <w:t>公务接待费支出数（包括基本支出和项目支出）。</w:t>
      </w:r>
    </w:p>
    <w:p>
      <w:pPr>
        <w:rPr>
          <w:rFonts w:ascii="Arial" w:eastAsia="Arial" w:hAnsi="Arial" w:cs="Arial"/>
          <w:b/>
          <w:sz w:val="36"/>
        </w:rPr>
      </w:pPr>
      <w:r>
        <w:rPr>
          <w:rFonts w:ascii="Arial" w:eastAsia="Arial" w:hAnsi="Arial" w:cs="Arial"/>
          <w:b/>
          <w:sz w:val="36"/>
        </w:rPr>
        <w:t>监督索引号53340000132401111</w:t>
      </w:r>
    </w:p>
    <w:sectPr w:rsidSect="00F1783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altName w:val="Arial Unicode MS"/>
    <w:charset w:val="00"/>
    <w:family w:val="auto"/>
    <w:pitch w:val="default"/>
    <w:sig w:usb0="00000000" w:usb1="C000247B" w:usb2="00000009" w:usb3="00000000" w:csb0="2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CEBD00"/>
    <w:multiLevelType w:val="singleLevel"/>
    <w:tmpl w:val="D9CEBD00"/>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
  <w:rsids>
    <w:rsidRoot w:val="7F1862B0"/>
    <w:rsid w:val="0003569A"/>
    <w:rsid w:val="00035FC3"/>
    <w:rsid w:val="00075876"/>
    <w:rsid w:val="00076F4E"/>
    <w:rsid w:val="000A1620"/>
    <w:rsid w:val="001034F2"/>
    <w:rsid w:val="001254E4"/>
    <w:rsid w:val="0013034A"/>
    <w:rsid w:val="00200C43"/>
    <w:rsid w:val="00245885"/>
    <w:rsid w:val="00277917"/>
    <w:rsid w:val="00282C9D"/>
    <w:rsid w:val="00291415"/>
    <w:rsid w:val="002C4E15"/>
    <w:rsid w:val="002D45DE"/>
    <w:rsid w:val="00307616"/>
    <w:rsid w:val="00325A95"/>
    <w:rsid w:val="0032600C"/>
    <w:rsid w:val="00330C5F"/>
    <w:rsid w:val="00336847"/>
    <w:rsid w:val="00362A84"/>
    <w:rsid w:val="00391367"/>
    <w:rsid w:val="003C24B3"/>
    <w:rsid w:val="003D1E54"/>
    <w:rsid w:val="003D6ED0"/>
    <w:rsid w:val="003F4ED0"/>
    <w:rsid w:val="004302E8"/>
    <w:rsid w:val="00485B25"/>
    <w:rsid w:val="00486879"/>
    <w:rsid w:val="004B1845"/>
    <w:rsid w:val="004D24BF"/>
    <w:rsid w:val="004D3A72"/>
    <w:rsid w:val="004E76E6"/>
    <w:rsid w:val="004F29DD"/>
    <w:rsid w:val="005252A4"/>
    <w:rsid w:val="00532A32"/>
    <w:rsid w:val="00544E3F"/>
    <w:rsid w:val="0056733D"/>
    <w:rsid w:val="00582DB6"/>
    <w:rsid w:val="005C50AA"/>
    <w:rsid w:val="0061393D"/>
    <w:rsid w:val="00614684"/>
    <w:rsid w:val="0061502B"/>
    <w:rsid w:val="0062256A"/>
    <w:rsid w:val="0068283A"/>
    <w:rsid w:val="00690C15"/>
    <w:rsid w:val="00690EF3"/>
    <w:rsid w:val="00692E6F"/>
    <w:rsid w:val="006A7DD7"/>
    <w:rsid w:val="006B3736"/>
    <w:rsid w:val="006C1E87"/>
    <w:rsid w:val="006C33F0"/>
    <w:rsid w:val="006F789A"/>
    <w:rsid w:val="007415F7"/>
    <w:rsid w:val="00741AA3"/>
    <w:rsid w:val="00751445"/>
    <w:rsid w:val="00763E85"/>
    <w:rsid w:val="00767EB4"/>
    <w:rsid w:val="00773BFC"/>
    <w:rsid w:val="00787E53"/>
    <w:rsid w:val="007D223B"/>
    <w:rsid w:val="00810E43"/>
    <w:rsid w:val="0083152A"/>
    <w:rsid w:val="00834C57"/>
    <w:rsid w:val="00835C45"/>
    <w:rsid w:val="008505A7"/>
    <w:rsid w:val="00852D69"/>
    <w:rsid w:val="008639F8"/>
    <w:rsid w:val="00891C07"/>
    <w:rsid w:val="008A09BE"/>
    <w:rsid w:val="008A6E19"/>
    <w:rsid w:val="008E6A7C"/>
    <w:rsid w:val="008F019C"/>
    <w:rsid w:val="00940EBC"/>
    <w:rsid w:val="00950EB5"/>
    <w:rsid w:val="0099030E"/>
    <w:rsid w:val="009A48B9"/>
    <w:rsid w:val="009D5048"/>
    <w:rsid w:val="009E42A0"/>
    <w:rsid w:val="00AE6513"/>
    <w:rsid w:val="00B01E9C"/>
    <w:rsid w:val="00B167D4"/>
    <w:rsid w:val="00B82318"/>
    <w:rsid w:val="00B85F47"/>
    <w:rsid w:val="00BE3C6D"/>
    <w:rsid w:val="00C40427"/>
    <w:rsid w:val="00C44512"/>
    <w:rsid w:val="00C678BC"/>
    <w:rsid w:val="00CA53EC"/>
    <w:rsid w:val="00CE36A1"/>
    <w:rsid w:val="00CE6E92"/>
    <w:rsid w:val="00D15773"/>
    <w:rsid w:val="00D34E92"/>
    <w:rsid w:val="00DD4D32"/>
    <w:rsid w:val="00E0036D"/>
    <w:rsid w:val="00E034EA"/>
    <w:rsid w:val="00E339D0"/>
    <w:rsid w:val="00E949D9"/>
    <w:rsid w:val="00EA470D"/>
    <w:rsid w:val="00F01A71"/>
    <w:rsid w:val="00F17834"/>
    <w:rsid w:val="00FE13F8"/>
    <w:rsid w:val="01833070"/>
    <w:rsid w:val="03211CF6"/>
    <w:rsid w:val="050577A2"/>
    <w:rsid w:val="0B7061F3"/>
    <w:rsid w:val="0B805E37"/>
    <w:rsid w:val="0BB8416C"/>
    <w:rsid w:val="0C423361"/>
    <w:rsid w:val="0EAC41AF"/>
    <w:rsid w:val="10B90D7D"/>
    <w:rsid w:val="1299771C"/>
    <w:rsid w:val="12E167B5"/>
    <w:rsid w:val="16914FDA"/>
    <w:rsid w:val="18D94AFE"/>
    <w:rsid w:val="1AD80DB3"/>
    <w:rsid w:val="1B0F48D3"/>
    <w:rsid w:val="1C253ED2"/>
    <w:rsid w:val="1D0B132C"/>
    <w:rsid w:val="1D1C2F3E"/>
    <w:rsid w:val="201A4978"/>
    <w:rsid w:val="209F7AF6"/>
    <w:rsid w:val="229B3BED"/>
    <w:rsid w:val="2454306B"/>
    <w:rsid w:val="250A7011"/>
    <w:rsid w:val="2610169C"/>
    <w:rsid w:val="2A093438"/>
    <w:rsid w:val="2DCF3B70"/>
    <w:rsid w:val="2DF21A3A"/>
    <w:rsid w:val="2FB07D52"/>
    <w:rsid w:val="30122E4F"/>
    <w:rsid w:val="30EA5ADA"/>
    <w:rsid w:val="314F624E"/>
    <w:rsid w:val="31DB1169"/>
    <w:rsid w:val="328D6D51"/>
    <w:rsid w:val="332C2CD5"/>
    <w:rsid w:val="334F1C3D"/>
    <w:rsid w:val="341258AA"/>
    <w:rsid w:val="343818AD"/>
    <w:rsid w:val="35B67520"/>
    <w:rsid w:val="37E80528"/>
    <w:rsid w:val="3A6B4700"/>
    <w:rsid w:val="3BDD2D35"/>
    <w:rsid w:val="3C3C5525"/>
    <w:rsid w:val="3F966C3C"/>
    <w:rsid w:val="3FB714A1"/>
    <w:rsid w:val="41C97CBB"/>
    <w:rsid w:val="42DA291F"/>
    <w:rsid w:val="45467FEB"/>
    <w:rsid w:val="4EED2D3A"/>
    <w:rsid w:val="534D3C7B"/>
    <w:rsid w:val="551B320F"/>
    <w:rsid w:val="587D52CB"/>
    <w:rsid w:val="5AC54B88"/>
    <w:rsid w:val="5BC35563"/>
    <w:rsid w:val="5C7419B5"/>
    <w:rsid w:val="5CCD508E"/>
    <w:rsid w:val="5F3A73CC"/>
    <w:rsid w:val="61A40458"/>
    <w:rsid w:val="62EE72B7"/>
    <w:rsid w:val="64507D5C"/>
    <w:rsid w:val="64B8069A"/>
    <w:rsid w:val="67030EA3"/>
    <w:rsid w:val="6D0676D0"/>
    <w:rsid w:val="6F692120"/>
    <w:rsid w:val="70E70076"/>
    <w:rsid w:val="7106547B"/>
    <w:rsid w:val="71BD2581"/>
    <w:rsid w:val="74FC6D6C"/>
    <w:rsid w:val="776A315B"/>
    <w:rsid w:val="78706D72"/>
    <w:rsid w:val="78B043C8"/>
    <w:rsid w:val="7CB454E2"/>
    <w:rsid w:val="7D165914"/>
    <w:rsid w:val="7F1862B0"/>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7834"/>
    <w:pPr>
      <w:widowControl w:val="0"/>
      <w:spacing w:after="200" w:line="276" w:lineRule="auto"/>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qFormat/>
    <w:rsid w:val="00F17834"/>
    <w:pPr>
      <w:tabs>
        <w:tab w:val="center" w:pos="4153"/>
        <w:tab w:val="right" w:pos="8306"/>
      </w:tabs>
      <w:snapToGrid w:val="0"/>
      <w:spacing w:line="240" w:lineRule="auto"/>
      <w:jc w:val="left"/>
    </w:pPr>
    <w:rPr>
      <w:sz w:val="18"/>
      <w:szCs w:val="18"/>
    </w:rPr>
  </w:style>
  <w:style w:type="paragraph" w:styleId="Header">
    <w:name w:val="header"/>
    <w:basedOn w:val="Normal"/>
    <w:link w:val="Char"/>
    <w:qFormat/>
    <w:rsid w:val="00F17834"/>
    <w:pPr>
      <w:pBdr>
        <w:bottom w:val="single" w:sz="6" w:space="1" w:color="auto"/>
      </w:pBdr>
      <w:tabs>
        <w:tab w:val="center" w:pos="4153"/>
        <w:tab w:val="right" w:pos="8306"/>
      </w:tabs>
      <w:snapToGrid w:val="0"/>
      <w:spacing w:line="240" w:lineRule="auto"/>
      <w:jc w:val="center"/>
    </w:pPr>
    <w:rPr>
      <w:sz w:val="18"/>
      <w:szCs w:val="18"/>
    </w:rPr>
  </w:style>
  <w:style w:type="paragraph" w:styleId="NormalWeb">
    <w:name w:val="Normal (Web)"/>
    <w:basedOn w:val="Normal"/>
    <w:uiPriority w:val="99"/>
    <w:qFormat/>
    <w:rsid w:val="00F17834"/>
    <w:pPr>
      <w:spacing w:beforeAutospacing="1" w:after="0" w:afterAutospacing="1"/>
      <w:jc w:val="left"/>
    </w:pPr>
    <w:rPr>
      <w:rFonts w:cs="Times New Roman"/>
      <w:kern w:val="0"/>
      <w:sz w:val="24"/>
    </w:rPr>
  </w:style>
  <w:style w:type="character" w:styleId="Strong">
    <w:name w:val="Strong"/>
    <w:basedOn w:val="DefaultParagraphFont"/>
    <w:qFormat/>
    <w:rsid w:val="00F17834"/>
    <w:rPr>
      <w:b/>
    </w:rPr>
  </w:style>
  <w:style w:type="character" w:customStyle="1" w:styleId="Headerorfooter2">
    <w:name w:val="Header or footer|2_"/>
    <w:basedOn w:val="DefaultParagraphFont"/>
    <w:link w:val="Headerorfooter20"/>
    <w:qFormat/>
    <w:rsid w:val="00F17834"/>
    <w:rPr>
      <w:lang w:val="zh-CN" w:bidi="zh-CN"/>
    </w:rPr>
  </w:style>
  <w:style w:type="paragraph" w:customStyle="1" w:styleId="Headerorfooter20">
    <w:name w:val="Header or footer|2"/>
    <w:basedOn w:val="Normal"/>
    <w:link w:val="Headerorfooter2"/>
    <w:qFormat/>
    <w:rsid w:val="00F17834"/>
    <w:pPr>
      <w:spacing w:after="0" w:line="240" w:lineRule="auto"/>
      <w:jc w:val="left"/>
    </w:pPr>
    <w:rPr>
      <w:kern w:val="0"/>
      <w:sz w:val="20"/>
      <w:szCs w:val="20"/>
      <w:lang w:val="zh-CN" w:bidi="zh-CN"/>
    </w:rPr>
  </w:style>
  <w:style w:type="character" w:customStyle="1" w:styleId="Bodytext1">
    <w:name w:val="Body text|1_"/>
    <w:basedOn w:val="DefaultParagraphFont"/>
    <w:link w:val="Bodytext10"/>
    <w:qFormat/>
    <w:rsid w:val="00F17834"/>
    <w:rPr>
      <w:rFonts w:ascii="宋体" w:eastAsia="宋体" w:hAnsi="宋体" w:cs="宋体"/>
      <w:lang w:val="zh-CN" w:bidi="zh-CN"/>
    </w:rPr>
  </w:style>
  <w:style w:type="paragraph" w:customStyle="1" w:styleId="Bodytext10">
    <w:name w:val="Body text|1"/>
    <w:basedOn w:val="Normal"/>
    <w:link w:val="Bodytext1"/>
    <w:qFormat/>
    <w:rsid w:val="00F17834"/>
    <w:pPr>
      <w:spacing w:after="0" w:line="420" w:lineRule="auto"/>
      <w:ind w:firstLine="400"/>
      <w:jc w:val="left"/>
    </w:pPr>
    <w:rPr>
      <w:rFonts w:ascii="宋体" w:eastAsia="宋体" w:hAnsi="宋体" w:cs="宋体"/>
      <w:kern w:val="0"/>
      <w:sz w:val="20"/>
      <w:szCs w:val="20"/>
      <w:lang w:val="zh-CN" w:bidi="zh-CN"/>
    </w:rPr>
  </w:style>
  <w:style w:type="character" w:customStyle="1" w:styleId="Bodytext2">
    <w:name w:val="Body text|2_"/>
    <w:basedOn w:val="DefaultParagraphFont"/>
    <w:link w:val="Bodytext20"/>
    <w:qFormat/>
    <w:rsid w:val="00F17834"/>
    <w:rPr>
      <w:sz w:val="18"/>
      <w:szCs w:val="18"/>
      <w:lang w:val="zh-CN" w:bidi="zh-CN"/>
    </w:rPr>
  </w:style>
  <w:style w:type="paragraph" w:customStyle="1" w:styleId="Bodytext20">
    <w:name w:val="Body text|2"/>
    <w:basedOn w:val="Normal"/>
    <w:link w:val="Bodytext2"/>
    <w:qFormat/>
    <w:rsid w:val="00F17834"/>
    <w:pPr>
      <w:spacing w:after="80" w:line="240" w:lineRule="auto"/>
      <w:jc w:val="right"/>
    </w:pPr>
    <w:rPr>
      <w:kern w:val="0"/>
      <w:sz w:val="18"/>
      <w:szCs w:val="18"/>
      <w:lang w:val="zh-CN" w:bidi="zh-CN"/>
    </w:rPr>
  </w:style>
  <w:style w:type="paragraph" w:customStyle="1" w:styleId="CharCharCharChar">
    <w:name w:val="Char Char Char Char"/>
    <w:basedOn w:val="Normal"/>
    <w:qFormat/>
    <w:rsid w:val="00F17834"/>
    <w:pPr>
      <w:spacing w:after="0" w:line="360" w:lineRule="auto"/>
      <w:ind w:firstLine="200" w:firstLineChars="200"/>
    </w:pPr>
    <w:rPr>
      <w:rFonts w:ascii="宋体" w:eastAsia="宋体" w:hAnsi="宋体" w:cs="宋体"/>
      <w:sz w:val="24"/>
    </w:rPr>
  </w:style>
  <w:style w:type="character" w:customStyle="1" w:styleId="Char">
    <w:name w:val="页眉 Char"/>
    <w:basedOn w:val="DefaultParagraphFont"/>
    <w:link w:val="Header"/>
    <w:qFormat/>
    <w:rsid w:val="00F17834"/>
    <w:rPr>
      <w:kern w:val="2"/>
      <w:sz w:val="18"/>
      <w:szCs w:val="18"/>
    </w:rPr>
  </w:style>
  <w:style w:type="character" w:customStyle="1" w:styleId="Char0">
    <w:name w:val="页脚 Char"/>
    <w:basedOn w:val="DefaultParagraphFont"/>
    <w:link w:val="Footer"/>
    <w:qFormat/>
    <w:rsid w:val="00F1783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BA0FBCC-E111-45EF-BAB8-CA05C47C2601}">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4555</Words>
  <Characters>742</Characters>
  <Application>Microsoft Office Word</Application>
  <DocSecurity>0</DocSecurity>
  <Lines>6</Lines>
  <Paragraphs>10</Paragraphs>
  <ScaleCrop>false</ScaleCrop>
  <Company>P R C</Company>
  <LinksUpToDate>false</LinksUpToDate>
  <CharactersWithSpaces>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此里取初</dc:creator>
  <cp:lastModifiedBy>yckj</cp:lastModifiedBy>
  <cp:revision>84</cp:revision>
  <dcterms:created xsi:type="dcterms:W3CDTF">2019-10-17T08:01:00Z</dcterms:created>
  <dcterms:modified xsi:type="dcterms:W3CDTF">2019-10-28T05:29:00Z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