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迪庆州金融办公室2018年部门预算编制信息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pPr>
      <w:bookmarkStart w:id="2" w:name="_GoBack"/>
      <w:bookmarkEnd w:id="2"/>
      <w:r>
        <w:rPr>
          <w:rFonts w:hint="eastAsia" w:ascii="方正小标宋简体" w:hAnsi="方正小标宋简体" w:eastAsia="方正小标宋简体" w:cs="方正小标宋简体"/>
          <w:sz w:val="36"/>
          <w:szCs w:val="36"/>
          <w:lang w:val="en-US" w:eastAsia="zh-CN"/>
        </w:rPr>
        <w:t>公开目录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楷体_GB2312" w:hAnsi="楷体_GB2312" w:eastAsia="楷体_GB2312" w:cs="楷体_GB2312"/>
        </w:rPr>
      </w:pPr>
      <w:r>
        <w:rPr>
          <w:rFonts w:hint="eastAsia" w:ascii="楷体_GB2312" w:hAnsi="楷体_GB2312" w:eastAsia="楷体_GB2312" w:cs="楷体_GB2312"/>
          <w:lang w:eastAsia="zh-CN"/>
        </w:rPr>
        <w:t>附件一：</w:t>
      </w:r>
      <w:r>
        <w:rPr>
          <w:rFonts w:hint="eastAsia" w:ascii="楷体_GB2312" w:hAnsi="楷体_GB2312" w:eastAsia="楷体_GB2312" w:cs="楷体_GB2312"/>
        </w:rPr>
        <w:t>关于</w:t>
      </w:r>
      <w:bookmarkStart w:id="0" w:name="deptName"/>
      <w:r>
        <w:rPr>
          <w:rFonts w:hint="eastAsia" w:ascii="楷体_GB2312" w:hAnsi="楷体_GB2312" w:eastAsia="楷体_GB2312" w:cs="楷体_GB2312"/>
        </w:rPr>
        <w:t>**</w:t>
      </w:r>
      <w:bookmarkEnd w:id="0"/>
      <w:r>
        <w:rPr>
          <w:rFonts w:hint="eastAsia" w:ascii="楷体_GB2312" w:hAnsi="楷体_GB2312" w:eastAsia="楷体_GB2312" w:cs="楷体_GB2312"/>
        </w:rPr>
        <w:t>部门（单位）</w:t>
      </w:r>
      <w:bookmarkStart w:id="1" w:name="setYear"/>
      <w:r>
        <w:rPr>
          <w:rFonts w:hint="eastAsia" w:ascii="楷体_GB2312" w:hAnsi="楷体_GB2312" w:eastAsia="楷体_GB2312" w:cs="楷体_GB2312"/>
        </w:rPr>
        <w:t>**</w:t>
      </w:r>
      <w:bookmarkEnd w:id="1"/>
      <w:r>
        <w:rPr>
          <w:rFonts w:hint="eastAsia" w:ascii="楷体_GB2312" w:hAnsi="楷体_GB2312" w:eastAsia="楷体_GB2312" w:cs="楷体_GB2312"/>
        </w:rPr>
        <w:t>年部门预算编制的说明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楷体_GB2312" w:hAnsi="楷体_GB2312" w:eastAsia="楷体_GB2312" w:cs="楷体_GB2312"/>
          <w:lang w:eastAsia="zh-CN"/>
        </w:rPr>
      </w:pPr>
      <w:r>
        <w:rPr>
          <w:rFonts w:hint="eastAsia" w:ascii="楷体_GB2312" w:hAnsi="楷体_GB2312" w:eastAsia="楷体_GB2312" w:cs="楷体_GB2312"/>
          <w:lang w:eastAsia="zh-CN"/>
        </w:rPr>
        <w:t>附件二：</w:t>
      </w:r>
      <w:r>
        <w:rPr>
          <w:rFonts w:hint="eastAsia" w:ascii="楷体_GB2312" w:hAnsi="楷体_GB2312" w:eastAsia="楷体_GB2312" w:cs="楷体_GB2312"/>
        </w:rPr>
        <w:t>**部门（单位）**年部门预算</w:t>
      </w:r>
      <w:r>
        <w:rPr>
          <w:rFonts w:hint="eastAsia" w:ascii="楷体_GB2312" w:hAnsi="楷体_GB2312" w:eastAsia="楷体_GB2312" w:cs="楷体_GB2312"/>
          <w:lang w:eastAsia="zh-CN"/>
        </w:rPr>
        <w:t>附表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表一、2018年部门财政拨款收支预算总表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表二、</w:t>
      </w:r>
      <w:r>
        <w:rPr>
          <w:rFonts w:hint="eastAsia" w:ascii="仿宋_GB2312" w:hAnsi="仿宋_GB2312" w:eastAsia="仿宋_GB2312" w:cs="仿宋_GB2312"/>
          <w:sz w:val="28"/>
          <w:szCs w:val="28"/>
          <w:lang w:val="en-US" w:eastAsia="zh-CN"/>
        </w:rPr>
        <w:t>2018年</w:t>
      </w:r>
      <w:r>
        <w:rPr>
          <w:rFonts w:hint="eastAsia" w:ascii="仿宋_GB2312" w:hAnsi="仿宋_GB2312" w:eastAsia="仿宋_GB2312" w:cs="仿宋_GB2312"/>
          <w:sz w:val="28"/>
          <w:szCs w:val="28"/>
          <w:lang w:eastAsia="zh-CN"/>
        </w:rPr>
        <w:t>部门一般公共预算支出表</w:t>
      </w:r>
      <w:r>
        <w:rPr>
          <w:rFonts w:hint="eastAsia" w:ascii="仿宋_GB2312" w:hAnsi="仿宋_GB2312" w:eastAsia="仿宋_GB2312" w:cs="仿宋_GB2312"/>
          <w:sz w:val="28"/>
          <w:szCs w:val="28"/>
          <w:lang w:eastAsia="zh-CN"/>
        </w:rPr>
        <w:tab/>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表三、2018年</w:t>
      </w:r>
      <w:r>
        <w:rPr>
          <w:rFonts w:hint="eastAsia" w:ascii="仿宋_GB2312" w:hAnsi="仿宋_GB2312" w:eastAsia="仿宋_GB2312" w:cs="仿宋_GB2312"/>
          <w:sz w:val="28"/>
          <w:szCs w:val="28"/>
          <w:lang w:val="en-US" w:eastAsia="zh-CN"/>
        </w:rPr>
        <w:t>部门基本支出预算表...................</w:t>
      </w:r>
      <w:r>
        <w:rPr>
          <w:rFonts w:hint="eastAsia" w:ascii="仿宋_GB2312" w:hAnsi="仿宋_GB2312" w:eastAsia="仿宋_GB2312" w:cs="仿宋_GB2312"/>
          <w:sz w:val="28"/>
          <w:szCs w:val="28"/>
          <w:lang w:eastAsia="zh-CN"/>
        </w:rPr>
        <w:tab/>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表四、2018 年部门政府性基金预算支出表</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ab/>
      </w:r>
      <w:r>
        <w:rPr>
          <w:rFonts w:hint="eastAsia" w:ascii="仿宋_GB2312" w:hAnsi="仿宋_GB2312" w:eastAsia="仿宋_GB2312" w:cs="仿宋_GB2312"/>
          <w:sz w:val="28"/>
          <w:szCs w:val="28"/>
          <w:lang w:eastAsia="zh-CN"/>
        </w:rPr>
        <w:tab/>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表五、</w:t>
      </w:r>
      <w:r>
        <w:rPr>
          <w:rFonts w:hint="eastAsia" w:ascii="仿宋_GB2312" w:hAnsi="仿宋_GB2312" w:eastAsia="仿宋_GB2312" w:cs="仿宋_GB2312"/>
          <w:sz w:val="28"/>
          <w:szCs w:val="28"/>
          <w:lang w:val="en-US" w:eastAsia="zh-CN"/>
        </w:rPr>
        <w:t>2018</w:t>
      </w:r>
      <w:r>
        <w:rPr>
          <w:rFonts w:hint="eastAsia" w:ascii="仿宋_GB2312" w:hAnsi="仿宋_GB2312" w:eastAsia="仿宋_GB2312" w:cs="仿宋_GB2312"/>
          <w:sz w:val="28"/>
          <w:szCs w:val="28"/>
          <w:lang w:eastAsia="zh-CN"/>
        </w:rPr>
        <w:tab/>
      </w:r>
      <w:r>
        <w:rPr>
          <w:rFonts w:hint="eastAsia" w:ascii="仿宋_GB2312" w:hAnsi="仿宋_GB2312" w:eastAsia="仿宋_GB2312" w:cs="仿宋_GB2312"/>
          <w:sz w:val="28"/>
          <w:szCs w:val="28"/>
          <w:lang w:eastAsia="zh-CN"/>
        </w:rPr>
        <w:t>年部门财务收支预算总表</w:t>
      </w:r>
      <w:r>
        <w:rPr>
          <w:rFonts w:hint="eastAsia" w:ascii="仿宋_GB2312" w:hAnsi="仿宋_GB2312" w:eastAsia="仿宋_GB2312" w:cs="仿宋_GB2312"/>
          <w:sz w:val="28"/>
          <w:szCs w:val="28"/>
          <w:lang w:eastAsia="zh-CN"/>
        </w:rPr>
        <w:tab/>
      </w:r>
      <w:r>
        <w:rPr>
          <w:rFonts w:hint="eastAsia" w:ascii="仿宋_GB2312" w:hAnsi="仿宋_GB2312" w:eastAsia="仿宋_GB2312" w:cs="仿宋_GB2312"/>
          <w:sz w:val="28"/>
          <w:szCs w:val="28"/>
          <w:lang w:eastAsia="zh-CN"/>
        </w:rPr>
        <w:tab/>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表六、2018年部门收入总表</w:t>
      </w:r>
      <w:r>
        <w:rPr>
          <w:rFonts w:hint="eastAsia" w:ascii="仿宋_GB2312" w:hAnsi="仿宋_GB2312" w:eastAsia="仿宋_GB2312" w:cs="仿宋_GB2312"/>
          <w:sz w:val="28"/>
          <w:szCs w:val="28"/>
          <w:lang w:val="en-US" w:eastAsia="zh-CN"/>
        </w:rPr>
        <w:tab/>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表七、2018年部门支出总表</w:t>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表八、部门财政拨款支出明细表（按经济科目分类）</w:t>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ab/>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ab/>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baseline"/>
        <w:outlineLvl w:val="9"/>
        <w:rPr>
          <w:rFonts w:hint="eastAsia" w:asciiTheme="majorEastAsia" w:hAnsiTheme="majorEastAsia" w:eastAsiaTheme="majorEastAsia" w:cstheme="majorEastAsia"/>
          <w:b/>
          <w:bCs/>
          <w:color w:val="000000"/>
          <w:spacing w:val="-8"/>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baseline"/>
        <w:outlineLvl w:val="9"/>
        <w:rPr>
          <w:rFonts w:hint="eastAsia" w:asciiTheme="majorEastAsia" w:hAnsiTheme="majorEastAsia" w:eastAsiaTheme="majorEastAsia" w:cstheme="majorEastAsia"/>
          <w:b/>
          <w:bCs/>
          <w:color w:val="000000"/>
          <w:spacing w:val="-8"/>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baseline"/>
        <w:outlineLvl w:val="9"/>
        <w:rPr>
          <w:rFonts w:hint="eastAsia" w:asciiTheme="majorEastAsia" w:hAnsiTheme="majorEastAsia" w:eastAsiaTheme="majorEastAsia" w:cstheme="majorEastAsia"/>
          <w:b/>
          <w:bCs/>
          <w:color w:val="000000"/>
          <w:spacing w:val="-8"/>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baseline"/>
        <w:outlineLvl w:val="9"/>
        <w:rPr>
          <w:rFonts w:hint="eastAsia" w:asciiTheme="majorEastAsia" w:hAnsiTheme="majorEastAsia" w:eastAsiaTheme="majorEastAsia" w:cstheme="majorEastAsia"/>
          <w:b/>
          <w:bCs/>
          <w:color w:val="000000"/>
          <w:spacing w:val="-8"/>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baseline"/>
        <w:outlineLvl w:val="9"/>
        <w:rPr>
          <w:rFonts w:hint="eastAsia" w:asciiTheme="majorEastAsia" w:hAnsiTheme="majorEastAsia" w:eastAsiaTheme="majorEastAsia" w:cstheme="majorEastAsia"/>
          <w:b/>
          <w:bCs/>
          <w:color w:val="000000"/>
          <w:spacing w:val="-8"/>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baseline"/>
        <w:outlineLvl w:val="9"/>
        <w:rPr>
          <w:rFonts w:hint="eastAsia" w:asciiTheme="majorEastAsia" w:hAnsiTheme="majorEastAsia" w:eastAsiaTheme="majorEastAsia" w:cstheme="majorEastAsia"/>
          <w:b/>
          <w:bCs/>
          <w:color w:val="000000"/>
          <w:spacing w:val="-8"/>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baseline"/>
        <w:outlineLvl w:val="9"/>
        <w:rPr>
          <w:rFonts w:hint="eastAsia" w:asciiTheme="majorEastAsia" w:hAnsiTheme="majorEastAsia" w:eastAsiaTheme="majorEastAsia" w:cstheme="majorEastAsia"/>
          <w:b/>
          <w:bCs/>
          <w:color w:val="000000"/>
          <w:spacing w:val="-8"/>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baseline"/>
        <w:outlineLvl w:val="9"/>
        <w:rPr>
          <w:rFonts w:hint="eastAsia" w:asciiTheme="majorEastAsia" w:hAnsiTheme="majorEastAsia" w:eastAsiaTheme="majorEastAsia" w:cstheme="majorEastAsia"/>
          <w:b/>
          <w:bCs/>
          <w:color w:val="000000"/>
          <w:spacing w:val="-8"/>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baseline"/>
        <w:outlineLvl w:val="9"/>
        <w:rPr>
          <w:rFonts w:hint="eastAsia" w:asciiTheme="majorEastAsia" w:hAnsiTheme="majorEastAsia" w:eastAsiaTheme="majorEastAsia" w:cstheme="majorEastAsia"/>
          <w:b/>
          <w:bCs/>
          <w:color w:val="000000"/>
          <w:spacing w:val="-8"/>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baseline"/>
        <w:outlineLvl w:val="9"/>
        <w:rPr>
          <w:rFonts w:hint="eastAsia" w:asciiTheme="majorEastAsia" w:hAnsiTheme="majorEastAsia" w:eastAsiaTheme="majorEastAsia" w:cstheme="majorEastAsia"/>
          <w:b/>
          <w:bCs/>
          <w:color w:val="000000"/>
          <w:spacing w:val="-8"/>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baseline"/>
        <w:outlineLvl w:val="9"/>
        <w:rPr>
          <w:rFonts w:hint="eastAsia" w:asciiTheme="majorEastAsia" w:hAnsiTheme="majorEastAsia" w:eastAsiaTheme="majorEastAsia" w:cstheme="majorEastAsia"/>
          <w:b/>
          <w:bCs/>
          <w:color w:val="000000"/>
          <w:spacing w:val="-8"/>
          <w:sz w:val="44"/>
          <w:szCs w:val="44"/>
          <w:lang w:val="en-US" w:eastAsia="zh-CN"/>
        </w:rPr>
      </w:pPr>
      <w:r>
        <w:rPr>
          <w:rFonts w:hint="eastAsia" w:asciiTheme="majorEastAsia" w:hAnsiTheme="majorEastAsia" w:eastAsiaTheme="majorEastAsia" w:cstheme="majorEastAsia"/>
          <w:b/>
          <w:bCs/>
          <w:color w:val="000000"/>
          <w:spacing w:val="-8"/>
          <w:sz w:val="44"/>
          <w:szCs w:val="44"/>
          <w:lang w:val="en-US" w:eastAsia="zh-CN"/>
        </w:rPr>
        <w:t>迪庆州金融办公室2018年部门预算公开说明</w:t>
      </w:r>
    </w:p>
    <w:p>
      <w:pPr>
        <w:widowControl/>
        <w:jc w:val="left"/>
        <w:rPr>
          <w:rFonts w:ascii="黑体" w:hAnsi="黑体" w:eastAsia="黑体"/>
          <w:kern w:val="0"/>
          <w:sz w:val="30"/>
          <w:szCs w:val="30"/>
        </w:rPr>
      </w:pPr>
    </w:p>
    <w:p>
      <w:pPr>
        <w:widowControl/>
        <w:ind w:firstLine="450" w:firstLineChars="150"/>
        <w:jc w:val="left"/>
        <w:rPr>
          <w:rFonts w:ascii="黑体" w:hAnsi="黑体" w:eastAsia="黑体"/>
          <w:kern w:val="0"/>
          <w:sz w:val="30"/>
          <w:szCs w:val="30"/>
        </w:rPr>
      </w:pPr>
      <w:r>
        <w:rPr>
          <w:rFonts w:ascii="黑体" w:hAnsi="黑体" w:eastAsia="黑体"/>
          <w:kern w:val="0"/>
          <w:sz w:val="30"/>
          <w:szCs w:val="30"/>
        </w:rPr>
        <w:t>一、基本职能及主要工作</w:t>
      </w:r>
    </w:p>
    <w:p>
      <w:pPr>
        <w:widowControl/>
        <w:ind w:firstLine="300" w:firstLineChars="1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（一）部门主要职责</w:t>
      </w:r>
    </w:p>
    <w:p>
      <w:pPr>
        <w:widowControl/>
        <w:spacing w:line="640" w:lineRule="exact"/>
        <w:ind w:firstLine="664"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color w:val="666666"/>
          <w:spacing w:val="6"/>
          <w:kern w:val="0"/>
          <w:sz w:val="32"/>
          <w:szCs w:val="32"/>
        </w:rPr>
        <w:t>按照州委、州政府部署要求，我办主要承担对全</w:t>
      </w:r>
      <w:r>
        <w:rPr>
          <w:rFonts w:hint="eastAsia" w:ascii="仿宋_GB2312" w:hAnsi="仿宋_GB2312" w:eastAsia="仿宋_GB2312" w:cs="仿宋_GB2312"/>
          <w:color w:val="666666"/>
          <w:spacing w:val="6"/>
          <w:kern w:val="0"/>
          <w:sz w:val="32"/>
          <w:szCs w:val="32"/>
          <w:lang w:eastAsia="zh-CN"/>
        </w:rPr>
        <w:t>州</w:t>
      </w:r>
      <w:r>
        <w:rPr>
          <w:rFonts w:hint="eastAsia" w:ascii="仿宋_GB2312" w:hAnsi="仿宋_GB2312" w:eastAsia="仿宋_GB2312" w:cs="仿宋_GB2312"/>
          <w:color w:val="666666"/>
          <w:spacing w:val="6"/>
          <w:kern w:val="0"/>
          <w:sz w:val="32"/>
          <w:szCs w:val="32"/>
        </w:rPr>
        <w:t>金融工作的协调、指导、管理、服务职能。</w:t>
      </w:r>
      <w:r>
        <w:rPr>
          <w:rFonts w:hint="eastAsia" w:ascii="仿宋_GB2312" w:hAnsi="仿宋_GB2312" w:eastAsia="仿宋_GB2312" w:cs="仿宋_GB2312"/>
          <w:color w:val="000000"/>
          <w:kern w:val="0"/>
          <w:sz w:val="32"/>
          <w:szCs w:val="32"/>
        </w:rPr>
        <w:t>（一）贯彻执行党和国家金融工作方针政策和相关法律、法规；配合国家金融管理（监管）部门做好货币政策落实及金融监管工作；协调拟定并组织实施本州金融产业发展规划和政策措施；研究金融发展重大问题，及时向州委、州政府提供决策参考。（二）负责建立全州金融工作沟通协调机制。建立人行迪庆中心支行、迪庆银监局的沟通协调机制；加强对全州金融系统的业务指导和协调；加强与在迪庆其他金融机构的沟通联系，协调金融机构和重点企业在改革发展中遇到的问题，组织搭建政银企沟通合作平台。（三）负责组织协调金融机构为本州经济社会发展提供金融保障。负责金融保障情况的汇总分析、督促落实、考核评价，引导金融机构运用各种金融创新工具和融资平台为经济建设尤其是重点工程、主导产业、重点区域和中小企业、“三农”发展提供金融支持。（四）指导和推动地方银行业金融机构改革与创新工作。加强对地方金融产业发展的指导，协调地方银行金融机构改制重组、股权变更、风险评估等工作；牵头提出地方金融机构改革实施方案，组织推进金融机构对外开放与国际合作工作；负责协调农村金融改革发展工作，推动新型农村金融组织发展；负责规划多层次金融组织体系建设，引导金融机构合理布局。（五）负责推进地方创新类金融组织的试点工作。负责牵头协调全州小额贷款公司试点的审核和管理工作；负责股权投资基金发展综合协调的具体工作，指导股权投资管理公司组建行业协会工作；牵头协调未上市公司股份转让试点工作；参与推动融资性担保机构规范管理工作；承担由地方政府审批的创新类金融组织相应授权的监管职责。（六）负责指导协调企业上市工作。负责组织协调全州拟上市企业的培育推荐、改制上市工作；负责企业上市有关审核确认事项的核实工作；牵头协调上市公司资产重组工作；指导协调上市公司再融资工作；负责完善全州企业上市合作协调机制；配合证券监管部门加强对境内外上市公司合作监管；负责协调上市公司风险防范和处置工作。（七）负责指导保险业等非银机构的改革创新工作。指导保险等金融机构的规范管理工作，指导协调非银金融机构改制和重组工作。（八）负责指导和推动金融市场体系和金融集聚区建设。研究制定金融市场发展布局规划，推进多层次资本市场发展；吸引中外金融机构分支机构落户迪庆，推动金融集聚州、金融后援服务区和金融改革试验区的建设；参与推进全州金融协调发展。九）负责推进地方金融发展环境建设。负责建立对地方金融生态环境建设的评价机制；负责对金融中介机构执业行为信誉评价和管理工作；推进建立社会信用信息共享机制；推动金融法治环境建设，规范民间融资行为，引导民间资金为地方经济发展服务。（十）负责协调防范和化解金融风险。配合金融监管部门加强金融监管，督促落实地方金融业风险防范和处置责任；审核涉及有关金融安全的事项，建立金融风险预警机制和评价机制；承担州处置非法集资活动联席会议办公室、州金融突发公共事件应急领导小组办公室的工作。（十一）负责参与指导金融人才培训和引进工作。参与拟定引进各类金融机构和金融人才的政策，吸引各类金融机构和高素质金融人才集聚迪庆；参与指导金融管理人才的培训和国内交流工作；配合有关单位对金融机构的考核评价工作，落实对金融机构的激励措施。</w:t>
      </w:r>
      <w:r>
        <w:rPr>
          <w:rFonts w:hint="eastAsia" w:ascii="仿宋_GB2312" w:hAnsi="仿宋_GB2312" w:eastAsia="仿宋_GB2312" w:cs="仿宋_GB2312"/>
          <w:kern w:val="0"/>
          <w:sz w:val="32"/>
          <w:szCs w:val="32"/>
        </w:rPr>
        <w:t>（十二）承担州政府金融工作领导小组的具体工作；承办州政府交办的其他事项。</w:t>
      </w:r>
    </w:p>
    <w:p>
      <w:pPr>
        <w:widowControl/>
        <w:numPr>
          <w:ilvl w:val="0"/>
          <w:numId w:val="1"/>
        </w:numPr>
        <w:ind w:firstLine="600" w:firstLineChars="200"/>
        <w:jc w:val="left"/>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机构设置情况</w:t>
      </w:r>
    </w:p>
    <w:p>
      <w:pPr>
        <w:widowControl/>
        <w:numPr>
          <w:ilvl w:val="0"/>
          <w:numId w:val="0"/>
        </w:numPr>
        <w:ind w:firstLine="600" w:firstLineChars="200"/>
        <w:jc w:val="left"/>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lang w:eastAsia="zh-CN"/>
        </w:rPr>
        <w:t>根据上述职责，我办内设二个科室。</w:t>
      </w:r>
    </w:p>
    <w:p>
      <w:pPr>
        <w:widowControl/>
        <w:numPr>
          <w:ilvl w:val="0"/>
          <w:numId w:val="0"/>
        </w:numPr>
        <w:ind w:firstLine="600" w:firstLineChars="200"/>
        <w:jc w:val="left"/>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lang w:eastAsia="zh-CN"/>
        </w:rPr>
        <w:t>金融发展科</w:t>
      </w:r>
    </w:p>
    <w:p>
      <w:pPr>
        <w:widowControl/>
        <w:numPr>
          <w:ilvl w:val="0"/>
          <w:numId w:val="0"/>
        </w:numPr>
        <w:ind w:firstLine="600" w:firstLineChars="200"/>
        <w:jc w:val="left"/>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lang w:eastAsia="zh-CN"/>
        </w:rPr>
        <w:t>负责制定全州金融等发展规划及年度工作计划及目标任务考核工作，拟定和落实对金融机构的激励机制和措施，负责对外联络、沟通工作，协调机构运转等日常事务工作。</w:t>
      </w:r>
    </w:p>
    <w:p>
      <w:pPr>
        <w:widowControl/>
        <w:numPr>
          <w:ilvl w:val="0"/>
          <w:numId w:val="0"/>
        </w:numPr>
        <w:ind w:firstLine="600" w:firstLineChars="200"/>
        <w:jc w:val="left"/>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lang w:eastAsia="zh-CN"/>
        </w:rPr>
        <w:t>金融监管科</w:t>
      </w:r>
    </w:p>
    <w:p>
      <w:pPr>
        <w:widowControl/>
        <w:numPr>
          <w:ilvl w:val="0"/>
          <w:numId w:val="0"/>
        </w:numPr>
        <w:ind w:firstLine="600" w:firstLineChars="200"/>
        <w:jc w:val="left"/>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lang w:eastAsia="zh-CN"/>
        </w:rPr>
        <w:t>负责贯彻执行党和国家金融工作方针政策和相关法律、法规；配合银行业监管部门开展我州金融行业监管工作，督促落实地方金融业风险防范和处置责任；审核涉及有关金融安全的事项，建立金融风险预警机制和评价机制，推动金融法制环境建设。承担迪庆州打击和处置非法集资工作领导小组办公室与金融稳定工作。</w:t>
      </w:r>
    </w:p>
    <w:p>
      <w:pPr>
        <w:widowControl/>
        <w:numPr>
          <w:ilvl w:val="0"/>
          <w:numId w:val="0"/>
        </w:numPr>
        <w:ind w:firstLine="60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（三）重点工作概述</w:t>
      </w:r>
    </w:p>
    <w:p>
      <w:pPr>
        <w:widowControl/>
        <w:numPr>
          <w:ilvl w:val="0"/>
          <w:numId w:val="0"/>
        </w:numPr>
        <w:ind w:firstLine="600" w:firstLineChars="200"/>
        <w:jc w:val="left"/>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lang w:eastAsia="zh-CN"/>
        </w:rPr>
        <w:t>一是负责贯彻执行党和国家金融工作方针政策和相关法律、法规；配合银行业监管部门做好货币政策落实及金融监管工作；协调拟定并组织实施本州金融产业发展规划和政策措施；研究金融发展重大问题，及时向州委、州政府提供决策参考；负责建立全州金融工作沟通机制。二是指导和推动地方银行金融机构改革与创新工作；三是负责推进地方创新类金融组织的试点工作；四是负责指导和推动金融市场体系和金融集聚区建设。五是承担迪庆州政府对银行业、保险业的目标下达、考核、奖励等金融工作。六是承担迪庆州打击和处置非法集资工作领导小组办公室与金融稳定工作。</w:t>
      </w:r>
    </w:p>
    <w:p>
      <w:pPr>
        <w:widowControl/>
        <w:ind w:firstLine="60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二、预算单位基本情况</w:t>
      </w:r>
    </w:p>
    <w:p>
      <w:pPr>
        <w:widowControl/>
        <w:ind w:firstLine="60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我部门编制</w:t>
      </w:r>
      <w:r>
        <w:rPr>
          <w:rFonts w:hint="eastAsia" w:ascii="仿宋_GB2312" w:hAnsi="仿宋_GB2312" w:eastAsia="仿宋_GB2312" w:cs="仿宋_GB2312"/>
          <w:kern w:val="0"/>
          <w:sz w:val="32"/>
          <w:szCs w:val="32"/>
          <w:lang w:val="en-US" w:eastAsia="zh-CN"/>
        </w:rPr>
        <w:t>2018</w:t>
      </w:r>
      <w:r>
        <w:rPr>
          <w:rFonts w:hint="eastAsia" w:ascii="仿宋_GB2312" w:hAnsi="仿宋_GB2312" w:eastAsia="仿宋_GB2312" w:cs="仿宋_GB2312"/>
          <w:kern w:val="0"/>
          <w:sz w:val="32"/>
          <w:szCs w:val="32"/>
        </w:rPr>
        <w:t>年部门预算单位共</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个。其中：财政全供给单位</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个；部分供给单位</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个；特殊供给单位</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个；自收自支单位</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个。财政全供给单位中行政单位</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个；参公管理事业单位</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个；非参公管理事业单位</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个。截止2017年11月统计，部门基本情况如下：</w:t>
      </w:r>
    </w:p>
    <w:p>
      <w:pPr>
        <w:widowControl/>
        <w:ind w:firstLine="60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在职人员编制</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 xml:space="preserve">人，其中：行政编制 </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人，事业编制</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人。在职实有</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 xml:space="preserve">人，其中： 财政全供养 </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人，财政部分供养</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人，非财政供养</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w:t>
      </w:r>
    </w:p>
    <w:p>
      <w:pPr>
        <w:widowControl/>
        <w:ind w:firstLine="60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离退休人员 </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人，其中： 离休 </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人，退休 </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w:t>
      </w:r>
    </w:p>
    <w:p>
      <w:pPr>
        <w:widowControl/>
        <w:ind w:firstLine="60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车辆编制</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辆，实有车辆</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w:t>
      </w:r>
    </w:p>
    <w:p>
      <w:pPr>
        <w:widowControl/>
        <w:ind w:firstLine="60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三、预算单位收入情况</w:t>
      </w:r>
    </w:p>
    <w:p>
      <w:pPr>
        <w:widowControl/>
        <w:ind w:firstLine="450" w:firstLineChars="15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（一）部门财务收入情况</w:t>
      </w:r>
    </w:p>
    <w:p>
      <w:pPr>
        <w:widowControl/>
        <w:ind w:firstLine="750" w:firstLineChars="25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2018</w:t>
      </w:r>
      <w:r>
        <w:rPr>
          <w:rFonts w:hint="eastAsia" w:ascii="仿宋_GB2312" w:hAnsi="仿宋_GB2312" w:eastAsia="仿宋_GB2312" w:cs="仿宋_GB2312"/>
          <w:kern w:val="0"/>
          <w:sz w:val="32"/>
          <w:szCs w:val="32"/>
        </w:rPr>
        <w:t xml:space="preserve">年部门财务总收入 </w:t>
      </w:r>
      <w:r>
        <w:rPr>
          <w:rFonts w:hint="eastAsia" w:ascii="仿宋_GB2312" w:hAnsi="仿宋_GB2312" w:eastAsia="仿宋_GB2312" w:cs="仿宋_GB2312"/>
          <w:kern w:val="0"/>
          <w:sz w:val="32"/>
          <w:szCs w:val="32"/>
          <w:lang w:val="en-US" w:eastAsia="zh-CN"/>
        </w:rPr>
        <w:t>213</w:t>
      </w:r>
      <w:r>
        <w:rPr>
          <w:rFonts w:hint="eastAsia" w:ascii="仿宋_GB2312" w:hAnsi="仿宋_GB2312" w:eastAsia="仿宋_GB2312" w:cs="仿宋_GB2312"/>
          <w:kern w:val="0"/>
          <w:sz w:val="32"/>
          <w:szCs w:val="32"/>
        </w:rPr>
        <w:t>万元，其中：一般公共预算</w:t>
      </w:r>
      <w:r>
        <w:rPr>
          <w:rFonts w:hint="eastAsia" w:ascii="仿宋_GB2312" w:hAnsi="仿宋_GB2312" w:eastAsia="仿宋_GB2312" w:cs="仿宋_GB2312"/>
          <w:kern w:val="0"/>
          <w:sz w:val="32"/>
          <w:szCs w:val="32"/>
          <w:lang w:val="en-US" w:eastAsia="zh-CN"/>
        </w:rPr>
        <w:t>213</w:t>
      </w:r>
      <w:r>
        <w:rPr>
          <w:rFonts w:hint="eastAsia" w:ascii="仿宋_GB2312" w:hAnsi="仿宋_GB2312" w:eastAsia="仿宋_GB2312" w:cs="仿宋_GB2312"/>
          <w:kern w:val="0"/>
          <w:sz w:val="32"/>
          <w:szCs w:val="32"/>
        </w:rPr>
        <w:t>万元，政府性基金</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万元，国有资本经营收益</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万元，事业收入</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万元，事业单位经营收入</w:t>
      </w:r>
      <w:r>
        <w:rPr>
          <w:rFonts w:hint="eastAsia" w:ascii="仿宋_GB2312" w:hAnsi="仿宋_GB2312" w:eastAsia="仿宋_GB2312" w:cs="仿宋_GB2312"/>
          <w:kern w:val="0"/>
          <w:sz w:val="32"/>
          <w:szCs w:val="32"/>
          <w:lang w:val="en-US" w:eastAsia="zh-CN"/>
        </w:rPr>
        <w:t>0万</w:t>
      </w:r>
      <w:r>
        <w:rPr>
          <w:rFonts w:hint="eastAsia" w:ascii="仿宋_GB2312" w:hAnsi="仿宋_GB2312" w:eastAsia="仿宋_GB2312" w:cs="仿宋_GB2312"/>
          <w:kern w:val="0"/>
          <w:sz w:val="32"/>
          <w:szCs w:val="32"/>
        </w:rPr>
        <w:t>元，其他收入</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w:t>
      </w:r>
    </w:p>
    <w:p>
      <w:pPr>
        <w:widowControl/>
        <w:ind w:firstLine="450" w:firstLineChars="15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（二）财政拨款收入情况</w:t>
      </w:r>
    </w:p>
    <w:p>
      <w:pPr>
        <w:widowControl/>
        <w:ind w:firstLine="750" w:firstLineChars="25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2018</w:t>
      </w:r>
      <w:r>
        <w:rPr>
          <w:rFonts w:hint="eastAsia" w:ascii="仿宋_GB2312" w:hAnsi="仿宋_GB2312" w:eastAsia="仿宋_GB2312" w:cs="仿宋_GB2312"/>
          <w:kern w:val="0"/>
          <w:sz w:val="32"/>
          <w:szCs w:val="32"/>
        </w:rPr>
        <w:t xml:space="preserve">年部门财政拨款收入 </w:t>
      </w:r>
      <w:r>
        <w:rPr>
          <w:rFonts w:hint="eastAsia" w:ascii="仿宋_GB2312" w:hAnsi="仿宋_GB2312" w:eastAsia="仿宋_GB2312" w:cs="仿宋_GB2312"/>
          <w:kern w:val="0"/>
          <w:sz w:val="32"/>
          <w:szCs w:val="32"/>
          <w:lang w:val="en-US" w:eastAsia="zh-CN"/>
        </w:rPr>
        <w:t>213</w:t>
      </w:r>
      <w:r>
        <w:rPr>
          <w:rFonts w:hint="eastAsia" w:ascii="仿宋_GB2312" w:hAnsi="仿宋_GB2312" w:eastAsia="仿宋_GB2312" w:cs="仿宋_GB2312"/>
          <w:kern w:val="0"/>
          <w:sz w:val="32"/>
          <w:szCs w:val="32"/>
        </w:rPr>
        <w:t>万元，其中:本年收入</w:t>
      </w:r>
      <w:r>
        <w:rPr>
          <w:rFonts w:hint="eastAsia" w:ascii="仿宋_GB2312" w:hAnsi="仿宋_GB2312" w:eastAsia="仿宋_GB2312" w:cs="仿宋_GB2312"/>
          <w:kern w:val="0"/>
          <w:sz w:val="32"/>
          <w:szCs w:val="32"/>
          <w:lang w:val="en-US" w:eastAsia="zh-CN"/>
        </w:rPr>
        <w:t>213</w:t>
      </w:r>
      <w:r>
        <w:rPr>
          <w:rFonts w:hint="eastAsia" w:ascii="仿宋_GB2312" w:hAnsi="仿宋_GB2312" w:eastAsia="仿宋_GB2312" w:cs="仿宋_GB2312"/>
          <w:kern w:val="0"/>
          <w:sz w:val="32"/>
          <w:szCs w:val="32"/>
        </w:rPr>
        <w:t>万元，上年结转收入</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万元。本年收入中，一般公共预算财政拨款</w:t>
      </w:r>
      <w:r>
        <w:rPr>
          <w:rFonts w:hint="eastAsia" w:ascii="仿宋_GB2312" w:hAnsi="仿宋_GB2312" w:eastAsia="仿宋_GB2312" w:cs="仿宋_GB2312"/>
          <w:kern w:val="0"/>
          <w:sz w:val="32"/>
          <w:szCs w:val="32"/>
          <w:lang w:val="en-US" w:eastAsia="zh-CN"/>
        </w:rPr>
        <w:t>213</w:t>
      </w:r>
      <w:r>
        <w:rPr>
          <w:rFonts w:hint="eastAsia" w:ascii="仿宋_GB2312" w:hAnsi="仿宋_GB2312" w:eastAsia="仿宋_GB2312" w:cs="仿宋_GB2312"/>
          <w:kern w:val="0"/>
          <w:sz w:val="32"/>
          <w:szCs w:val="32"/>
        </w:rPr>
        <w:t>元（本级财力</w:t>
      </w:r>
      <w:r>
        <w:rPr>
          <w:rFonts w:hint="eastAsia" w:ascii="仿宋_GB2312" w:hAnsi="仿宋_GB2312" w:eastAsia="仿宋_GB2312" w:cs="仿宋_GB2312"/>
          <w:kern w:val="0"/>
          <w:sz w:val="32"/>
          <w:szCs w:val="32"/>
          <w:lang w:val="en-US" w:eastAsia="zh-CN"/>
        </w:rPr>
        <w:t>213</w:t>
      </w:r>
      <w:r>
        <w:rPr>
          <w:rFonts w:hint="eastAsia" w:ascii="仿宋_GB2312" w:hAnsi="仿宋_GB2312" w:eastAsia="仿宋_GB2312" w:cs="仿宋_GB2312"/>
          <w:kern w:val="0"/>
          <w:sz w:val="32"/>
          <w:szCs w:val="32"/>
        </w:rPr>
        <w:t>万元，专项收入</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万元，执法办案补助</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万元，收费成本补偿</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万元，财政专户管理的收入</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万元，国有资源（资产）有偿使用收入</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万元），政府性基金财政拨款</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万元，国有资本经营收益财政拨款</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w:t>
      </w:r>
    </w:p>
    <w:p>
      <w:pPr>
        <w:widowControl/>
        <w:ind w:firstLine="60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四、预算单位支出情况</w:t>
      </w:r>
    </w:p>
    <w:p>
      <w:pPr>
        <w:widowControl/>
        <w:ind w:firstLine="60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2018</w:t>
      </w:r>
      <w:r>
        <w:rPr>
          <w:rFonts w:hint="eastAsia" w:ascii="仿宋_GB2312" w:hAnsi="仿宋_GB2312" w:eastAsia="仿宋_GB2312" w:cs="仿宋_GB2312"/>
          <w:kern w:val="0"/>
          <w:sz w:val="32"/>
          <w:szCs w:val="32"/>
        </w:rPr>
        <w:t xml:space="preserve">年部门预算总支出 </w:t>
      </w:r>
      <w:r>
        <w:rPr>
          <w:rFonts w:hint="eastAsia" w:ascii="仿宋_GB2312" w:hAnsi="仿宋_GB2312" w:eastAsia="仿宋_GB2312" w:cs="仿宋_GB2312"/>
          <w:kern w:val="0"/>
          <w:sz w:val="32"/>
          <w:szCs w:val="32"/>
          <w:lang w:val="en-US" w:eastAsia="zh-CN"/>
        </w:rPr>
        <w:t>213</w:t>
      </w:r>
      <w:r>
        <w:rPr>
          <w:rFonts w:hint="eastAsia" w:ascii="仿宋_GB2312" w:hAnsi="仿宋_GB2312" w:eastAsia="仿宋_GB2312" w:cs="仿宋_GB2312"/>
          <w:kern w:val="0"/>
          <w:sz w:val="32"/>
          <w:szCs w:val="32"/>
        </w:rPr>
        <w:t xml:space="preserve">万元。本级财力安排支出 </w:t>
      </w:r>
      <w:r>
        <w:rPr>
          <w:rFonts w:hint="eastAsia" w:ascii="仿宋_GB2312" w:hAnsi="仿宋_GB2312" w:eastAsia="仿宋_GB2312" w:cs="仿宋_GB2312"/>
          <w:kern w:val="0"/>
          <w:sz w:val="32"/>
          <w:szCs w:val="32"/>
          <w:lang w:val="en-US" w:eastAsia="zh-CN"/>
        </w:rPr>
        <w:t>213</w:t>
      </w:r>
      <w:r>
        <w:rPr>
          <w:rFonts w:hint="eastAsia" w:ascii="仿宋_GB2312" w:hAnsi="仿宋_GB2312" w:eastAsia="仿宋_GB2312" w:cs="仿宋_GB2312"/>
          <w:kern w:val="0"/>
          <w:sz w:val="32"/>
          <w:szCs w:val="32"/>
        </w:rPr>
        <w:t>万元，其中，基本支出</w:t>
      </w:r>
      <w:r>
        <w:rPr>
          <w:rFonts w:hint="eastAsia" w:ascii="仿宋_GB2312" w:hAnsi="仿宋_GB2312" w:eastAsia="仿宋_GB2312" w:cs="仿宋_GB2312"/>
          <w:kern w:val="0"/>
          <w:sz w:val="32"/>
          <w:szCs w:val="32"/>
          <w:lang w:val="en-US" w:eastAsia="zh-CN"/>
        </w:rPr>
        <w:t>193</w:t>
      </w:r>
      <w:r>
        <w:rPr>
          <w:rFonts w:hint="eastAsia" w:ascii="仿宋_GB2312" w:hAnsi="仿宋_GB2312" w:eastAsia="仿宋_GB2312" w:cs="仿宋_GB2312"/>
          <w:kern w:val="0"/>
          <w:sz w:val="32"/>
          <w:szCs w:val="32"/>
        </w:rPr>
        <w:t>万元，项目支出</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万元。</w:t>
      </w:r>
    </w:p>
    <w:p>
      <w:pPr>
        <w:widowControl/>
        <w:ind w:firstLine="450" w:firstLineChars="15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（一）本级财力支出按功能科目分类情况</w:t>
      </w:r>
    </w:p>
    <w:p>
      <w:pPr>
        <w:widowControl/>
        <w:ind w:firstLine="60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功能科目分组，主要用于……。</w:t>
      </w:r>
    </w:p>
    <w:p>
      <w:pPr>
        <w:widowControl/>
        <w:ind w:firstLine="450" w:firstLineChars="15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（二）本级财力支出按经济科目分类情况</w:t>
      </w:r>
    </w:p>
    <w:p>
      <w:pPr>
        <w:widowControl/>
        <w:ind w:firstLine="60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经济科目分组（其中：基本支出</w:t>
      </w:r>
      <w:r>
        <w:rPr>
          <w:rFonts w:hint="eastAsia" w:ascii="仿宋_GB2312" w:hAnsi="仿宋_GB2312" w:eastAsia="仿宋_GB2312" w:cs="仿宋_GB2312"/>
          <w:kern w:val="0"/>
          <w:sz w:val="32"/>
          <w:szCs w:val="32"/>
          <w:lang w:val="en-US" w:eastAsia="zh-CN"/>
        </w:rPr>
        <w:t>193</w:t>
      </w:r>
      <w:r>
        <w:rPr>
          <w:rFonts w:hint="eastAsia" w:ascii="仿宋_GB2312" w:hAnsi="仿宋_GB2312" w:eastAsia="仿宋_GB2312" w:cs="仿宋_GB2312"/>
          <w:kern w:val="0"/>
          <w:sz w:val="32"/>
          <w:szCs w:val="32"/>
        </w:rPr>
        <w:t>万元，项目支出</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万元）。</w:t>
      </w:r>
    </w:p>
    <w:p>
      <w:pPr>
        <w:widowControl/>
        <w:ind w:firstLine="60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五、省对下转项转移支付情况</w:t>
      </w:r>
    </w:p>
    <w:p>
      <w:pPr>
        <w:widowControl/>
        <w:ind w:firstLine="450" w:firstLineChars="15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（一）列入省对下专项转移支付项目清单项目情况</w:t>
      </w:r>
    </w:p>
    <w:p>
      <w:pPr>
        <w:widowControl/>
        <w:ind w:firstLine="900" w:firstLineChars="3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无</w:t>
      </w:r>
    </w:p>
    <w:p>
      <w:pPr>
        <w:widowControl/>
        <w:ind w:firstLine="600" w:firstLineChars="200"/>
        <w:jc w:val="left"/>
        <w:rPr>
          <w:rFonts w:hint="eastAsia" w:ascii="仿宋_GB2312" w:hAnsi="仿宋_GB2312" w:eastAsia="仿宋_GB2312" w:cs="仿宋_GB2312"/>
          <w:kern w:val="0"/>
          <w:sz w:val="32"/>
          <w:szCs w:val="32"/>
        </w:rPr>
      </w:pPr>
    </w:p>
    <w:p>
      <w:pPr>
        <w:widowControl/>
        <w:numPr>
          <w:ilvl w:val="0"/>
          <w:numId w:val="2"/>
        </w:numPr>
        <w:ind w:firstLine="450" w:firstLineChars="15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与中央配套事项</w:t>
      </w:r>
    </w:p>
    <w:p>
      <w:pPr>
        <w:widowControl/>
        <w:ind w:firstLine="900" w:firstLineChars="3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无</w:t>
      </w:r>
    </w:p>
    <w:p>
      <w:pPr>
        <w:widowControl/>
        <w:ind w:firstLine="600" w:firstLineChars="200"/>
        <w:jc w:val="left"/>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三）按既定政策标准测算补助事项</w:t>
      </w:r>
    </w:p>
    <w:p>
      <w:pPr>
        <w:widowControl/>
        <w:ind w:firstLine="900" w:firstLineChars="3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无</w:t>
      </w:r>
    </w:p>
    <w:p>
      <w:pPr>
        <w:widowControl/>
        <w:ind w:firstLine="60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六、政府采购预算情况</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2018年度无政府采购预算。</w:t>
      </w:r>
    </w:p>
    <w:p>
      <w:pPr>
        <w:widowControl/>
        <w:numPr>
          <w:ilvl w:val="0"/>
          <w:numId w:val="3"/>
        </w:numPr>
        <w:ind w:firstLine="60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基本支出预算变动的主要原因</w:t>
      </w:r>
    </w:p>
    <w:p>
      <w:pPr>
        <w:widowControl/>
        <w:numPr>
          <w:ilvl w:val="0"/>
          <w:numId w:val="0"/>
        </w:numPr>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人员工资和部分定额标准调整形成基本支出增加，反映在部门预算中基本支出大幅增加。</w:t>
      </w:r>
    </w:p>
    <w:p>
      <w:pPr>
        <w:widowControl/>
        <w:numPr>
          <w:ilvl w:val="0"/>
          <w:numId w:val="3"/>
        </w:numPr>
        <w:ind w:firstLine="60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项目支出预算变动的主要原因</w:t>
      </w:r>
    </w:p>
    <w:p>
      <w:pPr>
        <w:widowControl/>
        <w:numPr>
          <w:ilvl w:val="0"/>
          <w:numId w:val="0"/>
        </w:numPr>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《国务院关于进一步做好防范和处置非法集资工作的意见》(国发[2015]59号)和《云南省人民政府关于进一步做好防范和处置非法集资工作的实施意见》(云政发[2015]84号)</w:t>
      </w:r>
      <w:r>
        <w:rPr>
          <w:rFonts w:hint="eastAsia" w:ascii="仿宋_GB2312" w:hAnsi="仿宋_GB2312" w:eastAsia="仿宋_GB2312" w:cs="仿宋_GB2312"/>
          <w:kern w:val="0"/>
          <w:sz w:val="32"/>
          <w:szCs w:val="32"/>
          <w:lang w:eastAsia="zh-CN"/>
        </w:rPr>
        <w:t>文件，</w:t>
      </w:r>
      <w:r>
        <w:rPr>
          <w:rFonts w:hint="eastAsia" w:ascii="仿宋_GB2312" w:hAnsi="仿宋_GB2312" w:eastAsia="仿宋_GB2312" w:cs="仿宋_GB2312"/>
          <w:kern w:val="0"/>
          <w:sz w:val="32"/>
          <w:szCs w:val="32"/>
          <w:lang w:val="en-US" w:eastAsia="zh-CN"/>
        </w:rPr>
        <w:t>2018年度安排打击和处置非法集资工作经费20万元。</w:t>
      </w:r>
    </w:p>
    <w:p>
      <w:pPr>
        <w:widowControl/>
        <w:numPr>
          <w:ilvl w:val="0"/>
          <w:numId w:val="3"/>
        </w:numPr>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其他公开信息</w:t>
      </w:r>
    </w:p>
    <w:p>
      <w:pPr>
        <w:widowControl/>
        <w:numPr>
          <w:ilvl w:val="0"/>
          <w:numId w:val="0"/>
        </w:numPr>
        <w:ind w:firstLine="64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（一）专业名词解释</w:t>
      </w:r>
    </w:p>
    <w:p>
      <w:pPr>
        <w:widowControl/>
        <w:numPr>
          <w:ilvl w:val="0"/>
          <w:numId w:val="0"/>
        </w:numPr>
        <w:ind w:firstLine="64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无</w:t>
      </w:r>
    </w:p>
    <w:p>
      <w:pPr>
        <w:widowControl/>
        <w:numPr>
          <w:ilvl w:val="0"/>
          <w:numId w:val="0"/>
        </w:numPr>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（二）机关运行经费安排</w:t>
      </w:r>
    </w:p>
    <w:p>
      <w:pPr>
        <w:widowControl/>
        <w:ind w:firstLine="60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2018年度安排机关运行经费12万元；其中：办公费6万元；工会经费2万元；取暖费2万元；车辆运行维护经费2万元。</w:t>
      </w:r>
    </w:p>
    <w:p>
      <w:pPr>
        <w:widowControl/>
        <w:ind w:firstLine="60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（三）国有资产占用情况</w:t>
      </w:r>
    </w:p>
    <w:p>
      <w:pPr>
        <w:widowControl/>
        <w:ind w:firstLine="60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鉴于截至</w:t>
      </w:r>
      <w:r>
        <w:rPr>
          <w:rFonts w:hint="eastAsia" w:ascii="仿宋_GB2312" w:hAnsi="仿宋_GB2312" w:eastAsia="仿宋_GB2312" w:cs="仿宋_GB2312"/>
          <w:kern w:val="0"/>
          <w:sz w:val="32"/>
          <w:szCs w:val="32"/>
          <w:lang w:val="en-US" w:eastAsia="zh-CN"/>
        </w:rPr>
        <w:t>2017</w:t>
      </w:r>
      <w:r>
        <w:rPr>
          <w:rFonts w:hint="eastAsia" w:ascii="仿宋_GB2312" w:hAnsi="仿宋_GB2312" w:eastAsia="仿宋_GB2312" w:cs="仿宋_GB2312"/>
          <w:kern w:val="0"/>
          <w:sz w:val="32"/>
          <w:szCs w:val="32"/>
        </w:rPr>
        <w:t>年12月31日的国有资产占有使用情况需在完成</w:t>
      </w:r>
      <w:r>
        <w:rPr>
          <w:rFonts w:hint="eastAsia" w:ascii="仿宋_GB2312" w:hAnsi="仿宋_GB2312" w:eastAsia="仿宋_GB2312" w:cs="仿宋_GB2312"/>
          <w:kern w:val="0"/>
          <w:sz w:val="32"/>
          <w:szCs w:val="32"/>
          <w:lang w:val="en-US" w:eastAsia="zh-CN"/>
        </w:rPr>
        <w:t>2017</w:t>
      </w:r>
      <w:r>
        <w:rPr>
          <w:rFonts w:hint="eastAsia" w:ascii="仿宋_GB2312" w:hAnsi="仿宋_GB2312" w:eastAsia="仿宋_GB2312" w:cs="仿宋_GB2312"/>
          <w:kern w:val="0"/>
          <w:sz w:val="32"/>
          <w:szCs w:val="32"/>
        </w:rPr>
        <w:t>年决算编制后才能统计汇总相关数据，因此，将在公开</w:t>
      </w:r>
      <w:r>
        <w:rPr>
          <w:rFonts w:hint="eastAsia" w:ascii="仿宋_GB2312" w:hAnsi="仿宋_GB2312" w:eastAsia="仿宋_GB2312" w:cs="仿宋_GB2312"/>
          <w:kern w:val="0"/>
          <w:sz w:val="32"/>
          <w:szCs w:val="32"/>
          <w:lang w:val="en-US" w:eastAsia="zh-CN"/>
        </w:rPr>
        <w:t>2017</w:t>
      </w:r>
      <w:r>
        <w:rPr>
          <w:rFonts w:hint="eastAsia" w:ascii="仿宋_GB2312" w:hAnsi="仿宋_GB2312" w:eastAsia="仿宋_GB2312" w:cs="仿宋_GB2312"/>
          <w:kern w:val="0"/>
          <w:sz w:val="32"/>
          <w:szCs w:val="32"/>
        </w:rPr>
        <w:t>年度部门决算时一并公开部门截至</w:t>
      </w:r>
      <w:r>
        <w:rPr>
          <w:rFonts w:hint="eastAsia" w:ascii="仿宋_GB2312" w:hAnsi="仿宋_GB2312" w:eastAsia="仿宋_GB2312" w:cs="仿宋_GB2312"/>
          <w:kern w:val="0"/>
          <w:sz w:val="32"/>
          <w:szCs w:val="32"/>
          <w:lang w:val="en-US" w:eastAsia="zh-CN"/>
        </w:rPr>
        <w:t>2017</w:t>
      </w:r>
      <w:r>
        <w:rPr>
          <w:rFonts w:hint="eastAsia" w:ascii="仿宋_GB2312" w:hAnsi="仿宋_GB2312" w:eastAsia="仿宋_GB2312" w:cs="仿宋_GB2312"/>
          <w:kern w:val="0"/>
          <w:sz w:val="32"/>
          <w:szCs w:val="32"/>
        </w:rPr>
        <w:t>年12月31日的国有资产占有使用情况。</w:t>
      </w:r>
    </w:p>
    <w:sectPr>
      <w:headerReference r:id="rId3" w:type="default"/>
      <w:headerReference r:id="rId4" w:type="even"/>
      <w:pgSz w:w="11906" w:h="16838"/>
      <w:pgMar w:top="1247" w:right="1797" w:bottom="124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00007A87" w:usb1="80000000" w:usb2="00000008" w:usb3="00000000" w:csb0="400001FF" w:csb1="FFFF0000"/>
  </w:font>
  <w:font w:name="仿宋">
    <w:altName w:val="仿宋_GB2312"/>
    <w:panose1 w:val="02010609060101010101"/>
    <w:charset w:val="86"/>
    <w:family w:val="modern"/>
    <w:pitch w:val="default"/>
    <w:sig w:usb0="00000000" w:usb1="00000000"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 w:name="Verdana">
    <w:panose1 w:val="020B0604030504040204"/>
    <w:charset w:val="00"/>
    <w:family w:val="swiss"/>
    <w:pitch w:val="default"/>
    <w:sig w:usb0="00000287" w:usb1="00000000"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FDFAA"/>
    <w:multiLevelType w:val="singleLevel"/>
    <w:tmpl w:val="5A6FDFAA"/>
    <w:lvl w:ilvl="0" w:tentative="0">
      <w:start w:val="2"/>
      <w:numFmt w:val="chineseCounting"/>
      <w:suff w:val="nothing"/>
      <w:lvlText w:val="（%1）"/>
      <w:lvlJc w:val="left"/>
    </w:lvl>
  </w:abstractNum>
  <w:abstractNum w:abstractNumId="1">
    <w:nsid w:val="5A6FE0D3"/>
    <w:multiLevelType w:val="singleLevel"/>
    <w:tmpl w:val="5A6FE0D3"/>
    <w:lvl w:ilvl="0" w:tentative="0">
      <w:start w:val="2"/>
      <w:numFmt w:val="chineseCounting"/>
      <w:suff w:val="nothing"/>
      <w:lvlText w:val="（%1）"/>
      <w:lvlJc w:val="left"/>
    </w:lvl>
  </w:abstractNum>
  <w:abstractNum w:abstractNumId="2">
    <w:nsid w:val="5A6FEA30"/>
    <w:multiLevelType w:val="singleLevel"/>
    <w:tmpl w:val="5A6FEA30"/>
    <w:lvl w:ilvl="0" w:tentative="0">
      <w:start w:val="7"/>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5AD5"/>
    <w:rsid w:val="0000585F"/>
    <w:rsid w:val="0000790E"/>
    <w:rsid w:val="00010713"/>
    <w:rsid w:val="00011F4A"/>
    <w:rsid w:val="00012FB3"/>
    <w:rsid w:val="00014D4F"/>
    <w:rsid w:val="000152A5"/>
    <w:rsid w:val="000237AB"/>
    <w:rsid w:val="0003248D"/>
    <w:rsid w:val="00034005"/>
    <w:rsid w:val="0005317B"/>
    <w:rsid w:val="000543CA"/>
    <w:rsid w:val="00054EA9"/>
    <w:rsid w:val="000559B2"/>
    <w:rsid w:val="00060B5F"/>
    <w:rsid w:val="00063177"/>
    <w:rsid w:val="00064C37"/>
    <w:rsid w:val="00070204"/>
    <w:rsid w:val="00073344"/>
    <w:rsid w:val="00074721"/>
    <w:rsid w:val="00081157"/>
    <w:rsid w:val="00085843"/>
    <w:rsid w:val="000860FB"/>
    <w:rsid w:val="000952C1"/>
    <w:rsid w:val="00096A53"/>
    <w:rsid w:val="000A07EA"/>
    <w:rsid w:val="000A1122"/>
    <w:rsid w:val="000A74AF"/>
    <w:rsid w:val="000A7B19"/>
    <w:rsid w:val="000B0125"/>
    <w:rsid w:val="000B59B5"/>
    <w:rsid w:val="000B5BAB"/>
    <w:rsid w:val="000B7EA9"/>
    <w:rsid w:val="000C3AE5"/>
    <w:rsid w:val="000C5123"/>
    <w:rsid w:val="000D4394"/>
    <w:rsid w:val="000E530D"/>
    <w:rsid w:val="000F4C86"/>
    <w:rsid w:val="001046C0"/>
    <w:rsid w:val="00104701"/>
    <w:rsid w:val="00114FB7"/>
    <w:rsid w:val="00122B32"/>
    <w:rsid w:val="00123DF3"/>
    <w:rsid w:val="00126D02"/>
    <w:rsid w:val="00126F40"/>
    <w:rsid w:val="00127A6B"/>
    <w:rsid w:val="001341D1"/>
    <w:rsid w:val="0013430D"/>
    <w:rsid w:val="0013484F"/>
    <w:rsid w:val="00134BE4"/>
    <w:rsid w:val="0013549C"/>
    <w:rsid w:val="0014446D"/>
    <w:rsid w:val="001446A5"/>
    <w:rsid w:val="0014486B"/>
    <w:rsid w:val="00144CF1"/>
    <w:rsid w:val="0014558B"/>
    <w:rsid w:val="00146960"/>
    <w:rsid w:val="00155639"/>
    <w:rsid w:val="00155D5E"/>
    <w:rsid w:val="00157BA7"/>
    <w:rsid w:val="001704E4"/>
    <w:rsid w:val="00175223"/>
    <w:rsid w:val="00175B2E"/>
    <w:rsid w:val="00176F17"/>
    <w:rsid w:val="001804E3"/>
    <w:rsid w:val="00180C9A"/>
    <w:rsid w:val="00182D13"/>
    <w:rsid w:val="00183B42"/>
    <w:rsid w:val="00186C54"/>
    <w:rsid w:val="00192C05"/>
    <w:rsid w:val="00197CAA"/>
    <w:rsid w:val="00197E5D"/>
    <w:rsid w:val="001A1B3A"/>
    <w:rsid w:val="001A3CEE"/>
    <w:rsid w:val="001A784A"/>
    <w:rsid w:val="001B045D"/>
    <w:rsid w:val="001C1C89"/>
    <w:rsid w:val="001C55D5"/>
    <w:rsid w:val="001D120C"/>
    <w:rsid w:val="001E03BD"/>
    <w:rsid w:val="001E684A"/>
    <w:rsid w:val="00200BD6"/>
    <w:rsid w:val="00216177"/>
    <w:rsid w:val="002230AE"/>
    <w:rsid w:val="002247D0"/>
    <w:rsid w:val="00224F80"/>
    <w:rsid w:val="0022507C"/>
    <w:rsid w:val="00226979"/>
    <w:rsid w:val="00242E76"/>
    <w:rsid w:val="00243464"/>
    <w:rsid w:val="002462A8"/>
    <w:rsid w:val="00247731"/>
    <w:rsid w:val="00253C74"/>
    <w:rsid w:val="00262BAD"/>
    <w:rsid w:val="002726B1"/>
    <w:rsid w:val="002727D0"/>
    <w:rsid w:val="002749C8"/>
    <w:rsid w:val="00275325"/>
    <w:rsid w:val="00281C06"/>
    <w:rsid w:val="00285DC4"/>
    <w:rsid w:val="00294AE7"/>
    <w:rsid w:val="002A7BAE"/>
    <w:rsid w:val="002B11FA"/>
    <w:rsid w:val="002B2CA6"/>
    <w:rsid w:val="002B37A7"/>
    <w:rsid w:val="002B4342"/>
    <w:rsid w:val="002B56EB"/>
    <w:rsid w:val="002B6D47"/>
    <w:rsid w:val="002C7D21"/>
    <w:rsid w:val="002D27CD"/>
    <w:rsid w:val="002D3EC0"/>
    <w:rsid w:val="002D729F"/>
    <w:rsid w:val="002E0E3C"/>
    <w:rsid w:val="002E2F7F"/>
    <w:rsid w:val="002E4B20"/>
    <w:rsid w:val="002E5FC6"/>
    <w:rsid w:val="002E6D7D"/>
    <w:rsid w:val="002F2C1E"/>
    <w:rsid w:val="002F6E99"/>
    <w:rsid w:val="00300C47"/>
    <w:rsid w:val="003050B6"/>
    <w:rsid w:val="0030726B"/>
    <w:rsid w:val="0031118B"/>
    <w:rsid w:val="0031122F"/>
    <w:rsid w:val="00315EFA"/>
    <w:rsid w:val="00316408"/>
    <w:rsid w:val="003179FB"/>
    <w:rsid w:val="003244C9"/>
    <w:rsid w:val="0032468B"/>
    <w:rsid w:val="00327119"/>
    <w:rsid w:val="003333E4"/>
    <w:rsid w:val="00336580"/>
    <w:rsid w:val="0034184B"/>
    <w:rsid w:val="003535EB"/>
    <w:rsid w:val="00354D29"/>
    <w:rsid w:val="00356356"/>
    <w:rsid w:val="00360593"/>
    <w:rsid w:val="00360EF7"/>
    <w:rsid w:val="00361A07"/>
    <w:rsid w:val="003710A2"/>
    <w:rsid w:val="00376707"/>
    <w:rsid w:val="0037788A"/>
    <w:rsid w:val="0038029B"/>
    <w:rsid w:val="00383096"/>
    <w:rsid w:val="00392AA8"/>
    <w:rsid w:val="003931E6"/>
    <w:rsid w:val="003A324A"/>
    <w:rsid w:val="003A73EF"/>
    <w:rsid w:val="003B2514"/>
    <w:rsid w:val="003B54C2"/>
    <w:rsid w:val="003B5BA8"/>
    <w:rsid w:val="003C1BE1"/>
    <w:rsid w:val="003C6315"/>
    <w:rsid w:val="003D1204"/>
    <w:rsid w:val="003D160D"/>
    <w:rsid w:val="003D35F4"/>
    <w:rsid w:val="003D6601"/>
    <w:rsid w:val="003D6C9A"/>
    <w:rsid w:val="003E2D1F"/>
    <w:rsid w:val="003E2DE1"/>
    <w:rsid w:val="003E5754"/>
    <w:rsid w:val="003F171F"/>
    <w:rsid w:val="003F201E"/>
    <w:rsid w:val="003F3C0C"/>
    <w:rsid w:val="0040002C"/>
    <w:rsid w:val="00400C3B"/>
    <w:rsid w:val="00403507"/>
    <w:rsid w:val="00403546"/>
    <w:rsid w:val="004158B8"/>
    <w:rsid w:val="00416B98"/>
    <w:rsid w:val="00421A99"/>
    <w:rsid w:val="0042780C"/>
    <w:rsid w:val="0043232E"/>
    <w:rsid w:val="00432BAC"/>
    <w:rsid w:val="00445161"/>
    <w:rsid w:val="004457F4"/>
    <w:rsid w:val="004472BF"/>
    <w:rsid w:val="00447C85"/>
    <w:rsid w:val="00455E38"/>
    <w:rsid w:val="00456CDD"/>
    <w:rsid w:val="004605B3"/>
    <w:rsid w:val="00467CD2"/>
    <w:rsid w:val="004718A9"/>
    <w:rsid w:val="00476EC1"/>
    <w:rsid w:val="00480582"/>
    <w:rsid w:val="0048694C"/>
    <w:rsid w:val="004911B1"/>
    <w:rsid w:val="00495E43"/>
    <w:rsid w:val="004A362F"/>
    <w:rsid w:val="004A742B"/>
    <w:rsid w:val="004B29ED"/>
    <w:rsid w:val="004C064B"/>
    <w:rsid w:val="004D26D3"/>
    <w:rsid w:val="004D3A59"/>
    <w:rsid w:val="004F2C44"/>
    <w:rsid w:val="004F4F9F"/>
    <w:rsid w:val="004F5C1B"/>
    <w:rsid w:val="005054B5"/>
    <w:rsid w:val="00505533"/>
    <w:rsid w:val="00506344"/>
    <w:rsid w:val="005148D7"/>
    <w:rsid w:val="00521069"/>
    <w:rsid w:val="005248EA"/>
    <w:rsid w:val="0052572D"/>
    <w:rsid w:val="005431C8"/>
    <w:rsid w:val="005463F4"/>
    <w:rsid w:val="00552BA8"/>
    <w:rsid w:val="0055409A"/>
    <w:rsid w:val="00563EEF"/>
    <w:rsid w:val="00572E90"/>
    <w:rsid w:val="00575EDA"/>
    <w:rsid w:val="00591B91"/>
    <w:rsid w:val="005952DC"/>
    <w:rsid w:val="005A00B7"/>
    <w:rsid w:val="005A1F0D"/>
    <w:rsid w:val="005A51EE"/>
    <w:rsid w:val="005B0445"/>
    <w:rsid w:val="005B0A4A"/>
    <w:rsid w:val="005B679B"/>
    <w:rsid w:val="005B77D3"/>
    <w:rsid w:val="005C470B"/>
    <w:rsid w:val="005C66D3"/>
    <w:rsid w:val="005D245F"/>
    <w:rsid w:val="005D3061"/>
    <w:rsid w:val="005D6260"/>
    <w:rsid w:val="005D6D58"/>
    <w:rsid w:val="005E6A58"/>
    <w:rsid w:val="005F310F"/>
    <w:rsid w:val="00602B8A"/>
    <w:rsid w:val="0060314C"/>
    <w:rsid w:val="00614B12"/>
    <w:rsid w:val="006150EC"/>
    <w:rsid w:val="006164DB"/>
    <w:rsid w:val="0061679D"/>
    <w:rsid w:val="006253D8"/>
    <w:rsid w:val="00626153"/>
    <w:rsid w:val="006374A1"/>
    <w:rsid w:val="006540CB"/>
    <w:rsid w:val="00660B2A"/>
    <w:rsid w:val="00682553"/>
    <w:rsid w:val="0068515C"/>
    <w:rsid w:val="0068667C"/>
    <w:rsid w:val="006A26A0"/>
    <w:rsid w:val="006A4FDA"/>
    <w:rsid w:val="006B1C07"/>
    <w:rsid w:val="006B3DA5"/>
    <w:rsid w:val="006B5B25"/>
    <w:rsid w:val="006B7827"/>
    <w:rsid w:val="006D0172"/>
    <w:rsid w:val="006E1A3A"/>
    <w:rsid w:val="006E2230"/>
    <w:rsid w:val="006E2B9C"/>
    <w:rsid w:val="006E7E4C"/>
    <w:rsid w:val="006F1C64"/>
    <w:rsid w:val="006F3C19"/>
    <w:rsid w:val="00700438"/>
    <w:rsid w:val="007013C6"/>
    <w:rsid w:val="00715660"/>
    <w:rsid w:val="007328B9"/>
    <w:rsid w:val="007336B0"/>
    <w:rsid w:val="0073563C"/>
    <w:rsid w:val="00735ADA"/>
    <w:rsid w:val="00735D71"/>
    <w:rsid w:val="00736386"/>
    <w:rsid w:val="0074138A"/>
    <w:rsid w:val="00750940"/>
    <w:rsid w:val="00751AB4"/>
    <w:rsid w:val="0076269B"/>
    <w:rsid w:val="00765E00"/>
    <w:rsid w:val="00766131"/>
    <w:rsid w:val="0077005A"/>
    <w:rsid w:val="00772DB4"/>
    <w:rsid w:val="00780AAD"/>
    <w:rsid w:val="0078371A"/>
    <w:rsid w:val="00783A4C"/>
    <w:rsid w:val="00794375"/>
    <w:rsid w:val="007A05BD"/>
    <w:rsid w:val="007A725D"/>
    <w:rsid w:val="007B4A0F"/>
    <w:rsid w:val="007C05CB"/>
    <w:rsid w:val="007C3153"/>
    <w:rsid w:val="007C7656"/>
    <w:rsid w:val="007D066F"/>
    <w:rsid w:val="007D1AE5"/>
    <w:rsid w:val="007D5A91"/>
    <w:rsid w:val="007E3441"/>
    <w:rsid w:val="007E460F"/>
    <w:rsid w:val="007E68C9"/>
    <w:rsid w:val="007E76F1"/>
    <w:rsid w:val="007F1DA0"/>
    <w:rsid w:val="00803F6B"/>
    <w:rsid w:val="00805901"/>
    <w:rsid w:val="00811B53"/>
    <w:rsid w:val="00816BAB"/>
    <w:rsid w:val="00817514"/>
    <w:rsid w:val="00825E03"/>
    <w:rsid w:val="00827ECC"/>
    <w:rsid w:val="0083106D"/>
    <w:rsid w:val="0083313F"/>
    <w:rsid w:val="00834D98"/>
    <w:rsid w:val="00835730"/>
    <w:rsid w:val="0084210A"/>
    <w:rsid w:val="00845657"/>
    <w:rsid w:val="0084624C"/>
    <w:rsid w:val="00851C1D"/>
    <w:rsid w:val="00864E02"/>
    <w:rsid w:val="00874702"/>
    <w:rsid w:val="008775B4"/>
    <w:rsid w:val="008808A6"/>
    <w:rsid w:val="00885B69"/>
    <w:rsid w:val="008A159E"/>
    <w:rsid w:val="008A38E5"/>
    <w:rsid w:val="008A3F94"/>
    <w:rsid w:val="008A4B32"/>
    <w:rsid w:val="008A6037"/>
    <w:rsid w:val="008B2777"/>
    <w:rsid w:val="008B3519"/>
    <w:rsid w:val="008B4667"/>
    <w:rsid w:val="008B7085"/>
    <w:rsid w:val="008C0CBC"/>
    <w:rsid w:val="008C1602"/>
    <w:rsid w:val="008D1AD8"/>
    <w:rsid w:val="008D2E7D"/>
    <w:rsid w:val="008D5FED"/>
    <w:rsid w:val="008E0B11"/>
    <w:rsid w:val="008E2734"/>
    <w:rsid w:val="008F35F1"/>
    <w:rsid w:val="008F3FB1"/>
    <w:rsid w:val="009008F4"/>
    <w:rsid w:val="00901A1A"/>
    <w:rsid w:val="009020BF"/>
    <w:rsid w:val="00905BB4"/>
    <w:rsid w:val="00907813"/>
    <w:rsid w:val="00911B9D"/>
    <w:rsid w:val="009142F4"/>
    <w:rsid w:val="00921C07"/>
    <w:rsid w:val="00930A10"/>
    <w:rsid w:val="0093199F"/>
    <w:rsid w:val="00932958"/>
    <w:rsid w:val="00947CC7"/>
    <w:rsid w:val="00951519"/>
    <w:rsid w:val="009535AF"/>
    <w:rsid w:val="0096301A"/>
    <w:rsid w:val="00964D6C"/>
    <w:rsid w:val="00965133"/>
    <w:rsid w:val="00965E0F"/>
    <w:rsid w:val="00971AD3"/>
    <w:rsid w:val="00981123"/>
    <w:rsid w:val="00982629"/>
    <w:rsid w:val="0098468C"/>
    <w:rsid w:val="0098667C"/>
    <w:rsid w:val="009907B9"/>
    <w:rsid w:val="00992351"/>
    <w:rsid w:val="009A08B6"/>
    <w:rsid w:val="009A2377"/>
    <w:rsid w:val="009A4D11"/>
    <w:rsid w:val="009B3ED3"/>
    <w:rsid w:val="009B4ADC"/>
    <w:rsid w:val="009C1730"/>
    <w:rsid w:val="009D6232"/>
    <w:rsid w:val="009E15D4"/>
    <w:rsid w:val="009F25BD"/>
    <w:rsid w:val="009F3C7E"/>
    <w:rsid w:val="009F5646"/>
    <w:rsid w:val="009F7873"/>
    <w:rsid w:val="009F7979"/>
    <w:rsid w:val="009F7AE7"/>
    <w:rsid w:val="00A03FA7"/>
    <w:rsid w:val="00A06395"/>
    <w:rsid w:val="00A06AEF"/>
    <w:rsid w:val="00A10700"/>
    <w:rsid w:val="00A14D49"/>
    <w:rsid w:val="00A15184"/>
    <w:rsid w:val="00A1637D"/>
    <w:rsid w:val="00A2566B"/>
    <w:rsid w:val="00A32086"/>
    <w:rsid w:val="00A34E84"/>
    <w:rsid w:val="00A352B0"/>
    <w:rsid w:val="00A37886"/>
    <w:rsid w:val="00A472C6"/>
    <w:rsid w:val="00A51E78"/>
    <w:rsid w:val="00A570A1"/>
    <w:rsid w:val="00A60974"/>
    <w:rsid w:val="00A61DCD"/>
    <w:rsid w:val="00A65535"/>
    <w:rsid w:val="00A724CF"/>
    <w:rsid w:val="00A7532F"/>
    <w:rsid w:val="00A761CF"/>
    <w:rsid w:val="00A81682"/>
    <w:rsid w:val="00A84D92"/>
    <w:rsid w:val="00A84E65"/>
    <w:rsid w:val="00AA7480"/>
    <w:rsid w:val="00AB1481"/>
    <w:rsid w:val="00AB2ABB"/>
    <w:rsid w:val="00AB5C67"/>
    <w:rsid w:val="00AB7C98"/>
    <w:rsid w:val="00AC47D9"/>
    <w:rsid w:val="00AD0DA1"/>
    <w:rsid w:val="00AE0209"/>
    <w:rsid w:val="00AE2095"/>
    <w:rsid w:val="00AE5322"/>
    <w:rsid w:val="00AE5FEF"/>
    <w:rsid w:val="00AE73E2"/>
    <w:rsid w:val="00AF1CF9"/>
    <w:rsid w:val="00AF2AE3"/>
    <w:rsid w:val="00AF7C58"/>
    <w:rsid w:val="00B05787"/>
    <w:rsid w:val="00B15323"/>
    <w:rsid w:val="00B259AC"/>
    <w:rsid w:val="00B268D9"/>
    <w:rsid w:val="00B26EC9"/>
    <w:rsid w:val="00B31B8F"/>
    <w:rsid w:val="00B333B0"/>
    <w:rsid w:val="00B440DB"/>
    <w:rsid w:val="00B4415D"/>
    <w:rsid w:val="00B45103"/>
    <w:rsid w:val="00B45D24"/>
    <w:rsid w:val="00B52992"/>
    <w:rsid w:val="00B538C6"/>
    <w:rsid w:val="00B62018"/>
    <w:rsid w:val="00B63114"/>
    <w:rsid w:val="00B64A22"/>
    <w:rsid w:val="00B67D14"/>
    <w:rsid w:val="00B700C3"/>
    <w:rsid w:val="00B8042D"/>
    <w:rsid w:val="00B810FF"/>
    <w:rsid w:val="00B8418B"/>
    <w:rsid w:val="00B84519"/>
    <w:rsid w:val="00B87463"/>
    <w:rsid w:val="00B91E5C"/>
    <w:rsid w:val="00BA00E2"/>
    <w:rsid w:val="00BA4255"/>
    <w:rsid w:val="00BA4F5A"/>
    <w:rsid w:val="00BA7BBA"/>
    <w:rsid w:val="00BB3DE5"/>
    <w:rsid w:val="00BB4394"/>
    <w:rsid w:val="00BB5ABD"/>
    <w:rsid w:val="00BC1BA9"/>
    <w:rsid w:val="00BC41E1"/>
    <w:rsid w:val="00BD2FC7"/>
    <w:rsid w:val="00BD6EC1"/>
    <w:rsid w:val="00BE25AF"/>
    <w:rsid w:val="00BE3F11"/>
    <w:rsid w:val="00C01D14"/>
    <w:rsid w:val="00C04DD5"/>
    <w:rsid w:val="00C073D6"/>
    <w:rsid w:val="00C12785"/>
    <w:rsid w:val="00C14D2D"/>
    <w:rsid w:val="00C15327"/>
    <w:rsid w:val="00C205DD"/>
    <w:rsid w:val="00C242B2"/>
    <w:rsid w:val="00C25F74"/>
    <w:rsid w:val="00C35546"/>
    <w:rsid w:val="00C4092D"/>
    <w:rsid w:val="00C4278B"/>
    <w:rsid w:val="00C43BD2"/>
    <w:rsid w:val="00C44F90"/>
    <w:rsid w:val="00C47E9C"/>
    <w:rsid w:val="00C52FD7"/>
    <w:rsid w:val="00C57277"/>
    <w:rsid w:val="00C616E4"/>
    <w:rsid w:val="00C648E2"/>
    <w:rsid w:val="00C6603B"/>
    <w:rsid w:val="00C75A4D"/>
    <w:rsid w:val="00C75CE4"/>
    <w:rsid w:val="00C8367C"/>
    <w:rsid w:val="00C90645"/>
    <w:rsid w:val="00C92A41"/>
    <w:rsid w:val="00C95E0F"/>
    <w:rsid w:val="00CA3BAD"/>
    <w:rsid w:val="00CB1858"/>
    <w:rsid w:val="00CC0087"/>
    <w:rsid w:val="00CD0085"/>
    <w:rsid w:val="00CE1BDC"/>
    <w:rsid w:val="00CF3E52"/>
    <w:rsid w:val="00D00043"/>
    <w:rsid w:val="00D003BE"/>
    <w:rsid w:val="00D03468"/>
    <w:rsid w:val="00D03E18"/>
    <w:rsid w:val="00D06094"/>
    <w:rsid w:val="00D110CC"/>
    <w:rsid w:val="00D1310A"/>
    <w:rsid w:val="00D165B0"/>
    <w:rsid w:val="00D249EC"/>
    <w:rsid w:val="00D30CFE"/>
    <w:rsid w:val="00D314BC"/>
    <w:rsid w:val="00D319FC"/>
    <w:rsid w:val="00D37964"/>
    <w:rsid w:val="00D40468"/>
    <w:rsid w:val="00D41BD8"/>
    <w:rsid w:val="00D45FD5"/>
    <w:rsid w:val="00D501E4"/>
    <w:rsid w:val="00D51F3A"/>
    <w:rsid w:val="00D62340"/>
    <w:rsid w:val="00D63F18"/>
    <w:rsid w:val="00D6527D"/>
    <w:rsid w:val="00D6795D"/>
    <w:rsid w:val="00D729EC"/>
    <w:rsid w:val="00D74B92"/>
    <w:rsid w:val="00D841C1"/>
    <w:rsid w:val="00D93010"/>
    <w:rsid w:val="00D946E9"/>
    <w:rsid w:val="00D9604F"/>
    <w:rsid w:val="00D9737C"/>
    <w:rsid w:val="00DB3D0C"/>
    <w:rsid w:val="00DB4D49"/>
    <w:rsid w:val="00DB767D"/>
    <w:rsid w:val="00DC07E5"/>
    <w:rsid w:val="00DC395D"/>
    <w:rsid w:val="00DC634D"/>
    <w:rsid w:val="00DD0FFA"/>
    <w:rsid w:val="00DD202C"/>
    <w:rsid w:val="00DD3863"/>
    <w:rsid w:val="00DE5376"/>
    <w:rsid w:val="00DE60D1"/>
    <w:rsid w:val="00DF050A"/>
    <w:rsid w:val="00DF59BD"/>
    <w:rsid w:val="00DF6FC3"/>
    <w:rsid w:val="00DF751A"/>
    <w:rsid w:val="00DF7A31"/>
    <w:rsid w:val="00E05A1C"/>
    <w:rsid w:val="00E07333"/>
    <w:rsid w:val="00E129EE"/>
    <w:rsid w:val="00E12BAD"/>
    <w:rsid w:val="00E13411"/>
    <w:rsid w:val="00E14AC6"/>
    <w:rsid w:val="00E30F62"/>
    <w:rsid w:val="00E36ECE"/>
    <w:rsid w:val="00E46B69"/>
    <w:rsid w:val="00E573AC"/>
    <w:rsid w:val="00E57B94"/>
    <w:rsid w:val="00E62839"/>
    <w:rsid w:val="00E62E85"/>
    <w:rsid w:val="00E64EE1"/>
    <w:rsid w:val="00E65C1E"/>
    <w:rsid w:val="00E75F13"/>
    <w:rsid w:val="00E76022"/>
    <w:rsid w:val="00E83456"/>
    <w:rsid w:val="00EA25E4"/>
    <w:rsid w:val="00EA3E87"/>
    <w:rsid w:val="00EA7A22"/>
    <w:rsid w:val="00EA7DE2"/>
    <w:rsid w:val="00EB004F"/>
    <w:rsid w:val="00EB6AC3"/>
    <w:rsid w:val="00EC6D59"/>
    <w:rsid w:val="00EC703C"/>
    <w:rsid w:val="00ED0777"/>
    <w:rsid w:val="00ED2DE0"/>
    <w:rsid w:val="00ED6645"/>
    <w:rsid w:val="00ED6F4E"/>
    <w:rsid w:val="00EE37EE"/>
    <w:rsid w:val="00EE6EB1"/>
    <w:rsid w:val="00EF43D5"/>
    <w:rsid w:val="00EF4E23"/>
    <w:rsid w:val="00EF691D"/>
    <w:rsid w:val="00F0000C"/>
    <w:rsid w:val="00F002E5"/>
    <w:rsid w:val="00F03838"/>
    <w:rsid w:val="00F03945"/>
    <w:rsid w:val="00F04C86"/>
    <w:rsid w:val="00F0598E"/>
    <w:rsid w:val="00F11D4E"/>
    <w:rsid w:val="00F12CC8"/>
    <w:rsid w:val="00F20765"/>
    <w:rsid w:val="00F20D44"/>
    <w:rsid w:val="00F238CE"/>
    <w:rsid w:val="00F24EE1"/>
    <w:rsid w:val="00F36445"/>
    <w:rsid w:val="00F412D7"/>
    <w:rsid w:val="00F43996"/>
    <w:rsid w:val="00F45AD5"/>
    <w:rsid w:val="00F45F72"/>
    <w:rsid w:val="00F47184"/>
    <w:rsid w:val="00F51398"/>
    <w:rsid w:val="00F521B6"/>
    <w:rsid w:val="00F53C1F"/>
    <w:rsid w:val="00F53D7D"/>
    <w:rsid w:val="00F54201"/>
    <w:rsid w:val="00F5464F"/>
    <w:rsid w:val="00F6446E"/>
    <w:rsid w:val="00F657F3"/>
    <w:rsid w:val="00F80BF6"/>
    <w:rsid w:val="00F81802"/>
    <w:rsid w:val="00F82819"/>
    <w:rsid w:val="00F8452D"/>
    <w:rsid w:val="00F95BCB"/>
    <w:rsid w:val="00F96634"/>
    <w:rsid w:val="00F96A5C"/>
    <w:rsid w:val="00FA1FBC"/>
    <w:rsid w:val="00FA2C97"/>
    <w:rsid w:val="00FA2FC5"/>
    <w:rsid w:val="00FB35BE"/>
    <w:rsid w:val="00FC43B8"/>
    <w:rsid w:val="00FC4E58"/>
    <w:rsid w:val="00FC7004"/>
    <w:rsid w:val="00FD06A0"/>
    <w:rsid w:val="00FD13FB"/>
    <w:rsid w:val="00FD228E"/>
    <w:rsid w:val="00FD4E9B"/>
    <w:rsid w:val="00FE1A2F"/>
    <w:rsid w:val="00FE5F50"/>
    <w:rsid w:val="00FF1B25"/>
    <w:rsid w:val="00FF7A85"/>
    <w:rsid w:val="16925EA6"/>
    <w:rsid w:val="35B15DAC"/>
    <w:rsid w:val="37E15F58"/>
    <w:rsid w:val="3BDE15B9"/>
    <w:rsid w:val="46AD0388"/>
  </w:rsids>
  <m:mathPr>
    <m:lMargin m:val="0"/>
    <m:mathFont m:val="Cambria Math"/>
    <m:rMargin m:val="0"/>
    <m:wrapIndent m:val="1440"/>
    <m:brkBin m:val="before"/>
    <m:brkBinSub m:val="--"/>
    <m:defJc m:val="centerGroup"/>
    <m:intLim m:val="subSup"/>
    <m:naryLim m:val="undOvr"/>
    <m:smallFrac m:val="off"/>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semiHidden/>
    <w:qFormat/>
    <w:uiPriority w:val="0"/>
    <w:rPr>
      <w:b/>
      <w:bCs/>
    </w:rPr>
  </w:style>
  <w:style w:type="paragraph" w:styleId="3">
    <w:name w:val="annotation text"/>
    <w:basedOn w:val="1"/>
    <w:semiHidden/>
    <w:qFormat/>
    <w:uiPriority w:val="0"/>
    <w:pPr>
      <w:jc w:val="left"/>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unhideWhenUsed/>
    <w:uiPriority w:val="0"/>
  </w:style>
  <w:style w:type="character" w:styleId="9">
    <w:name w:val="annotation reference"/>
    <w:semiHidden/>
    <w:uiPriority w:val="0"/>
    <w:rPr>
      <w:sz w:val="21"/>
      <w:szCs w:val="21"/>
    </w:rPr>
  </w:style>
  <w:style w:type="paragraph" w:customStyle="1" w:styleId="11">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zhlx</Company>
  <Pages>3</Pages>
  <Words>175</Words>
  <Characters>1000</Characters>
  <Lines>8</Lines>
  <Paragraphs>2</Paragraphs>
  <ScaleCrop>false</ScaleCrop>
  <LinksUpToDate>false</LinksUpToDate>
  <CharactersWithSpaces>1173</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2012-01-07T11:13:00Z</dcterms:created>
  <dc:creator>lx</dc:creator>
  <dc:description>ZHGenApp().GetProperty("Certification")</dc:description>
  <cp:lastModifiedBy>Administrator</cp:lastModifiedBy>
  <cp:lastPrinted>2018-01-10T01:08:00Z</cp:lastPrinted>
  <dcterms:modified xsi:type="dcterms:W3CDTF">2018-01-30T08:50:45Z</dcterms:modified>
  <dc:title>年部门预算编制说明</dc:title>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