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header+xml" PartName="/word/header1.xml"/>
  <Default ContentType="image/x-wmf" Extension="wmf"/>
  <Override ContentType="image/x-emf" PartName="/word/media/image2.emf"/>
  <Default ContentType="image/gif" Extension="gi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kern w:val="0"/>
          <w:sz w:val="44"/>
          <w:szCs w:val="44"/>
        </w:rPr>
      </w:pPr>
    </w:p>
    <w:p>
      <w:pPr>
        <w:widowControl/>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迪庆州建筑工程质量监督管理站</w:t>
      </w:r>
    </w:p>
    <w:p>
      <w:pPr>
        <w:widowControl/>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2018</w:t>
      </w:r>
      <w:r>
        <w:rPr>
          <w:rFonts w:hint="eastAsia" w:ascii="方正小标宋_GBK" w:hAnsi="方正小标宋_GBK" w:eastAsia="方正小标宋_GBK" w:cs="方正小标宋_GBK"/>
          <w:kern w:val="0"/>
          <w:sz w:val="44"/>
          <w:szCs w:val="44"/>
        </w:rPr>
        <w:t>年部门预算编制说明</w:t>
      </w:r>
    </w:p>
    <w:p>
      <w:pPr>
        <w:pStyle w:val="3"/>
        <w:adjustRightInd w:val="0"/>
        <w:snapToGrid w:val="0"/>
        <w:spacing w:before="93" w:line="600" w:lineRule="exact"/>
        <w:ind w:firstLine="316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财政部门下发的《迪庆州部门预算编制管理办法》、《迪庆州预算绩效评价管理办法》、《结余结转资金管理办法》、《州本级项目预算编审体系》、《预算绩效管理工作考核办法》等对我单位2018年度部门预算进行了科学、合理、规范的编制，现按照《迪庆州财政局关于2018年部门预算的批复》（迪财建[2018]1号）文件相关内容将预算情况报告如下：</w:t>
      </w:r>
    </w:p>
    <w:p>
      <w:pPr>
        <w:widowControl/>
        <w:ind w:firstLine="31680" w:firstLineChars="15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一、基本职能及主要工作</w:t>
      </w:r>
    </w:p>
    <w:p>
      <w:pPr>
        <w:widowControl/>
        <w:ind w:firstLine="31680" w:firstLineChars="1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（一）部门主要职责</w:t>
      </w:r>
    </w:p>
    <w:p>
      <w:pPr>
        <w:snapToGrid w:val="0"/>
        <w:spacing w:line="700" w:lineRule="exact"/>
        <w:ind w:firstLine="316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迪庆州建筑工程质量监督站是经建设行政主管部门委托的，主要负责指导全州建筑工程及市政基础设施工程的监督管理、处理质量投诉、组织或参与工程重大质量安全事故的应急救援及调查处理工作等。</w:t>
      </w:r>
    </w:p>
    <w:p>
      <w:pPr>
        <w:widowControl/>
        <w:ind w:firstLine="31680" w:firstLineChars="1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（二）机构设置情况</w:t>
      </w:r>
    </w:p>
    <w:p>
      <w:pPr>
        <w:snapToGrid w:val="0"/>
        <w:spacing w:line="360" w:lineRule="auto"/>
        <w:ind w:firstLine="316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单位性质为二级事业单位，隶属于迪庆州住房和城乡建设局，进行独立预决算。 </w:t>
      </w:r>
    </w:p>
    <w:p>
      <w:pPr>
        <w:widowControl/>
        <w:ind w:firstLine="31680" w:firstLineChars="1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（三）重点工作概述</w:t>
      </w:r>
    </w:p>
    <w:p>
      <w:pPr>
        <w:ind w:firstLine="316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管理建筑市场，规范建筑市场各方主体行为。指导建筑活动；组织实施房屋和市政工程项目招投标活动的监督执法；起草施工、建设监理的地方性法规、政府规章草案并指导、监督实施；拟订规范建筑市场各方主体行为的规章制度并监督执行；组织协调建筑企业参与国际工程承包、建筑劳务合作；监督管理工程勘察设计咨询业、工程勘察设计质量和市场；起草勘察设计的地方性法规、政府规章草案并监督实施；指导城市地下空间的开发利用等。</w:t>
      </w:r>
    </w:p>
    <w:p>
      <w:pPr>
        <w:widowControl/>
        <w:ind w:firstLine="3168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二、预算单位基本情况</w:t>
      </w:r>
    </w:p>
    <w:p>
      <w:pPr>
        <w:spacing w:line="600" w:lineRule="exact"/>
        <w:ind w:firstLine="3168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纳入2018年部门预算编报的单位共1个，其中：财政全供给单位1个，部分供给单位0个，特殊供给单位0个，自收自支单位0个；财政全供给单位中行政单位0个，参公管理事业单位0个，非参公管理事业单位1个。部门</w:t>
      </w:r>
      <w:r>
        <w:rPr>
          <w:rFonts w:hint="eastAsia" w:ascii="方正仿宋_GBK" w:hAnsi="方正仿宋_GBK" w:eastAsia="方正仿宋_GBK" w:cs="方正仿宋_GBK"/>
          <w:kern w:val="0"/>
          <w:sz w:val="32"/>
          <w:szCs w:val="32"/>
        </w:rPr>
        <w:t>在职人员编制6人，其中：行政编制0人，事业编制6人。在职实有6人，其中：财政全供养6人，非财政供养0人；离退休人员0人，其中：离休0人，退休0人。车辆编制1辆，实有车辆0辆，由于与迪庆州住建局一起办公，故公务用车与州住建局局机关共用。</w:t>
      </w:r>
    </w:p>
    <w:p>
      <w:pPr>
        <w:widowControl/>
        <w:ind w:firstLine="3168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三、预算单位收入情况</w:t>
      </w:r>
    </w:p>
    <w:p>
      <w:pPr>
        <w:widowControl/>
        <w:ind w:firstLine="31680" w:firstLineChars="15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（一）部门财务收入情况</w:t>
      </w:r>
    </w:p>
    <w:p>
      <w:pPr>
        <w:spacing w:line="600" w:lineRule="exact"/>
        <w:ind w:firstLine="316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州质监站财务总收入127.88万元，其中：一般公共预算127.88万元，政府性基金收入0万元，国有资本经营收益0万元，事业收入0万元，事业单位经营收入0万元，其他收入0万元；比2017年年初预算106.26万元增加21.62万元，增加的主要原因是2018年度受调整工资，人员调动等的影响，人员经费较上年有较大幅度增加。</w:t>
      </w:r>
    </w:p>
    <w:p>
      <w:pPr>
        <w:widowControl/>
        <w:ind w:firstLine="31680" w:firstLineChars="15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（二）财政拨款收入情况</w:t>
      </w:r>
    </w:p>
    <w:p>
      <w:pPr>
        <w:spacing w:line="600" w:lineRule="exact"/>
        <w:ind w:firstLine="316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部门财政拨款收入127.88万元，其中，本年收入127.88万元，上年结转收入0.00万元。本年收入中，一般公共预算财政拨款127.88万元（本级财力127.88万元，专项收入0万元，执法办案补助0万元，收费成本补偿0万元，财政专户管理的收入0万元，国有资源（资产）有偿使用收入0万元），政府性基金财政拨款0万元，国有资本经营收益财政拨款0万元。</w:t>
      </w:r>
    </w:p>
    <w:p>
      <w:pPr>
        <w:widowControl/>
        <w:ind w:firstLine="3168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四、预算单位支出情况</w:t>
      </w:r>
    </w:p>
    <w:p>
      <w:pPr>
        <w:widowControl/>
        <w:ind w:firstLine="3168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2018</w:t>
      </w:r>
      <w:r>
        <w:rPr>
          <w:rFonts w:hint="eastAsia" w:ascii="方正仿宋_GBK" w:hAnsi="方正仿宋_GBK" w:eastAsia="方正仿宋_GBK" w:cs="方正仿宋_GBK"/>
          <w:kern w:val="0"/>
          <w:sz w:val="32"/>
          <w:szCs w:val="32"/>
        </w:rPr>
        <w:t>年部门预算总支出</w:t>
      </w:r>
      <w:r>
        <w:rPr>
          <w:rFonts w:hint="eastAsia" w:ascii="方正仿宋_GBK" w:hAnsi="方正仿宋_GBK" w:eastAsia="方正仿宋_GBK" w:cs="方正仿宋_GBK"/>
          <w:sz w:val="32"/>
          <w:szCs w:val="32"/>
        </w:rPr>
        <w:t>127.88万元，其中：</w:t>
      </w:r>
      <w:r>
        <w:rPr>
          <w:rFonts w:hint="eastAsia" w:ascii="方正仿宋_GBK" w:hAnsi="方正仿宋_GBK" w:eastAsia="方正仿宋_GBK" w:cs="方正仿宋_GBK"/>
          <w:kern w:val="0"/>
          <w:sz w:val="32"/>
          <w:szCs w:val="32"/>
        </w:rPr>
        <w:t>基本支出</w:t>
      </w:r>
      <w:r>
        <w:rPr>
          <w:rFonts w:hint="eastAsia" w:ascii="方正仿宋_GBK" w:hAnsi="方正仿宋_GBK" w:eastAsia="方正仿宋_GBK" w:cs="方正仿宋_GBK"/>
          <w:sz w:val="32"/>
          <w:szCs w:val="32"/>
        </w:rPr>
        <w:t>127.88</w:t>
      </w:r>
      <w:r>
        <w:rPr>
          <w:rFonts w:hint="eastAsia" w:ascii="方正仿宋_GBK" w:hAnsi="方正仿宋_GBK" w:eastAsia="方正仿宋_GBK" w:cs="方正仿宋_GBK"/>
          <w:kern w:val="0"/>
          <w:sz w:val="32"/>
          <w:szCs w:val="32"/>
        </w:rPr>
        <w:t>万元，占总支出的</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kern w:val="0"/>
          <w:sz w:val="32"/>
          <w:szCs w:val="32"/>
        </w:rPr>
        <w:t>％，项目支出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kern w:val="0"/>
          <w:sz w:val="32"/>
          <w:szCs w:val="32"/>
        </w:rPr>
        <w:t>万元，占总支出的</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kern w:val="0"/>
          <w:sz w:val="32"/>
          <w:szCs w:val="32"/>
        </w:rPr>
        <w:t>％。  （一）本级财力支出按功能科目分类情况</w:t>
      </w:r>
    </w:p>
    <w:p>
      <w:pPr>
        <w:widowControl/>
        <w:ind w:firstLine="3168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按支出功能科目分类，支出分别列“</w:t>
      </w:r>
      <w:r>
        <w:rPr>
          <w:rFonts w:hint="eastAsia" w:ascii="方正仿宋_GBK" w:hAnsi="方正仿宋_GBK" w:eastAsia="方正仿宋_GBK" w:cs="方正仿宋_GBK"/>
          <w:sz w:val="32"/>
          <w:szCs w:val="32"/>
        </w:rPr>
        <w:t>201—一般公共服务支出</w:t>
      </w:r>
      <w:r>
        <w:rPr>
          <w:rFonts w:hint="eastAsia" w:ascii="方正仿宋_GBK" w:hAnsi="方正仿宋_GBK" w:eastAsia="方正仿宋_GBK" w:cs="方正仿宋_GBK"/>
          <w:kern w:val="0"/>
          <w:sz w:val="32"/>
          <w:szCs w:val="32"/>
        </w:rPr>
        <w:t>”支出1.08万元，主要反映</w:t>
      </w:r>
      <w:r>
        <w:rPr>
          <w:rFonts w:hint="eastAsia" w:ascii="方正仿宋_GBK" w:hAnsi="方正仿宋_GBK" w:eastAsia="方正仿宋_GBK" w:cs="方正仿宋_GBK"/>
          <w:sz w:val="32"/>
          <w:szCs w:val="32"/>
        </w:rPr>
        <w:t>取暖费</w:t>
      </w:r>
      <w:r>
        <w:rPr>
          <w:rFonts w:hint="eastAsia" w:ascii="方正仿宋_GBK" w:hAnsi="方正仿宋_GBK" w:eastAsia="方正仿宋_GBK" w:cs="方正仿宋_GBK"/>
          <w:kern w:val="0"/>
          <w:sz w:val="32"/>
          <w:szCs w:val="32"/>
        </w:rPr>
        <w:t>的支出、“</w:t>
      </w:r>
      <w:r>
        <w:rPr>
          <w:rFonts w:hint="eastAsia" w:ascii="方正仿宋_GBK" w:hAnsi="方正仿宋_GBK" w:eastAsia="方正仿宋_GBK" w:cs="方正仿宋_GBK"/>
          <w:sz w:val="32"/>
          <w:szCs w:val="32"/>
        </w:rPr>
        <w:t>208—社会保障和就业支出</w:t>
      </w:r>
      <w:r>
        <w:rPr>
          <w:rFonts w:hint="eastAsia" w:ascii="方正仿宋_GBK" w:hAnsi="方正仿宋_GBK" w:eastAsia="方正仿宋_GBK" w:cs="方正仿宋_GBK"/>
          <w:kern w:val="0"/>
          <w:sz w:val="32"/>
          <w:szCs w:val="32"/>
        </w:rPr>
        <w:t>”支出14.98万元，主要反映</w:t>
      </w:r>
      <w:r>
        <w:rPr>
          <w:rFonts w:hint="eastAsia" w:ascii="方正仿宋_GBK" w:hAnsi="方正仿宋_GBK" w:eastAsia="方正仿宋_GBK" w:cs="方正仿宋_GBK"/>
          <w:sz w:val="32"/>
          <w:szCs w:val="32"/>
        </w:rPr>
        <w:t>基本仰赖保险缴费及退休人员经费</w:t>
      </w:r>
      <w:r>
        <w:rPr>
          <w:rFonts w:hint="eastAsia" w:ascii="方正仿宋_GBK" w:hAnsi="方正仿宋_GBK" w:eastAsia="方正仿宋_GBK" w:cs="方正仿宋_GBK"/>
          <w:kern w:val="0"/>
          <w:sz w:val="32"/>
          <w:szCs w:val="32"/>
        </w:rPr>
        <w:t>的支出、“210—医疗卫生与计划生育”支出9.22万元，主要反映单位部分医疗保险的支出、“212—城乡社区支出”支出93.21万元，主要反映人员工资福利支出及建设市场管理与监督相关工作经费支出情况、“221—住房保障支出”支出9.39万元，主要反映住房公积金的缴存支出。</w:t>
      </w:r>
    </w:p>
    <w:p>
      <w:pPr>
        <w:widowControl/>
        <w:ind w:firstLine="31680" w:firstLineChars="200"/>
        <w:jc w:val="left"/>
        <w:rPr>
          <w:rFonts w:ascii="仿宋_GB2312" w:hAnsi="宋体" w:eastAsia="仿宋_GB2312"/>
          <w:kern w:val="0"/>
          <w:sz w:val="30"/>
          <w:szCs w:val="30"/>
        </w:rPr>
      </w:pPr>
      <w:r>
        <w:rPr>
          <w:rFonts w:ascii="Times New Roman" w:hAnsi="Times New Roman" w:eastAsia="宋体" w:cs="Times New Roman"/>
          <w:kern w:val="2"/>
          <w:sz w:val="21"/>
          <w:szCs w:val="21"/>
          <w:lang w:val="en-US" w:eastAsia="zh-CN" w:bidi="ar-SA"/>
        </w:rPr>
        <w:pict>
          <v:shape id="_x0000_s1026" type="#_x0000_t75" style="position:absolute;left:0;margin-left:-34.6pt;margin-top:-184.2pt;height:325.8pt;width:504pt;mso-wrap-distance-bottom:0pt;mso-wrap-distance-left:9pt;mso-wrap-distance-right:9pt;mso-wrap-distance-top:0pt;rotation:0f;z-index:251659264;" o:ole="t" fillcolor="#FFFFFF" filled="f" o:preferrelative="t" stroked="f" coordorigin="0,0" coordsize="21600,21600">
            <v:fill on="f" color2="#FFFFFF" focus="0%"/>
            <v:imagedata gain="74473f" blacklevel="0f" gamma="0" o:title="" r:id="rId7"/>
            <o:lock v:ext="edit" position="f" selection="f" grouping="f" rotation="f" cropping="f" text="f" aspectratio="t"/>
            <w10:wrap type="square" side="right"/>
          </v:shape>
          <o:OLEObject Type="Embed" ProgID="MSGraph.Chart.8" ShapeID="_x0000_s1026" DrawAspect="Content" ObjectID="_1025" r:id="rId6"/>
        </w:pict>
      </w:r>
    </w:p>
    <w:p>
      <w:pPr>
        <w:widowControl/>
        <w:jc w:val="left"/>
        <w:rPr>
          <w:rFonts w:hint="eastAsia" w:ascii="仿宋_GB2312" w:hAnsi="仿宋_GB2312" w:eastAsia="仿宋_GB2312" w:cs="仿宋_GB2312"/>
          <w:kern w:val="0"/>
          <w:sz w:val="32"/>
          <w:szCs w:val="32"/>
        </w:rPr>
      </w:pPr>
      <w:r>
        <w:rPr>
          <w:rFonts w:hint="eastAsia" w:ascii="方正楷体_GBK" w:hAnsi="方正楷体_GBK" w:eastAsia="方正楷体_GBK" w:cs="方正楷体_GBK"/>
          <w:kern w:val="0"/>
          <w:sz w:val="32"/>
          <w:szCs w:val="32"/>
          <w:lang w:val="en-US" w:eastAsia="zh-CN"/>
        </w:rPr>
        <w:t xml:space="preserve">  </w:t>
      </w:r>
      <w:r>
        <w:rPr>
          <w:rFonts w:hint="eastAsia" w:ascii="方正楷体_GBK" w:hAnsi="方正楷体_GBK" w:eastAsia="方正楷体_GBK" w:cs="方正楷体_GBK"/>
          <w:kern w:val="0"/>
          <w:sz w:val="32"/>
          <w:szCs w:val="32"/>
        </w:rPr>
        <w:t>（二）本级财力支出按经济科目分类情况</w:t>
      </w:r>
    </w:p>
    <w:p>
      <w:pPr>
        <w:widowControl/>
        <w:ind w:firstLine="3168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部门预算按经济科目分组支出127.88万元，（其中：基本支出127.88万元，项目支出0.00万元）。分别为：工资福利支出121.32万元（基本工资20.73万元、津贴补贴46.93万元、奖金1.73万元、绩效工资17.79万元、养老保险缴费14.98万元、医疗保险8.62万元、其他社会保障缴费0.86万元、住房公积金9.39万元、医疗费0.3万元）；商品和服务支出6.56万元（办公费2.4万元、取暖费1.08万元、工会经费1.56万元、公务用车运行维护费1.5万元、福利费0.02万元）。</w:t>
      </w:r>
    </w:p>
    <w:p>
      <w:pPr>
        <w:widowControl/>
        <w:ind w:firstLine="3168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五、省对下转项转移支付情况</w:t>
      </w:r>
    </w:p>
    <w:p>
      <w:pPr>
        <w:widowControl/>
        <w:ind w:firstLine="31680" w:firstLineChars="15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（一）列入省对下专项转移支付项目清单项目情况</w:t>
      </w:r>
    </w:p>
    <w:p>
      <w:pPr>
        <w:widowControl/>
        <w:ind w:firstLine="3168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无省对下专项转移支付项目</w:t>
      </w:r>
    </w:p>
    <w:p>
      <w:pPr>
        <w:widowControl/>
        <w:ind w:firstLine="31680" w:firstLineChars="15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（二）与中央配套事项</w:t>
      </w:r>
    </w:p>
    <w:p>
      <w:pPr>
        <w:widowControl/>
        <w:ind w:firstLine="3168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widowControl/>
        <w:ind w:firstLine="31680" w:firstLineChars="200"/>
        <w:jc w:val="left"/>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w:t>
      </w:r>
      <w:r>
        <w:rPr>
          <w:rFonts w:hint="eastAsia" w:ascii="方正楷体_GBK" w:hAnsi="方正楷体_GBK" w:eastAsia="方正楷体_GBK" w:cs="方正楷体_GBK"/>
          <w:kern w:val="0"/>
          <w:sz w:val="32"/>
          <w:szCs w:val="32"/>
        </w:rPr>
        <w:t>三）按既定政策标准测算补助事项</w:t>
      </w:r>
    </w:p>
    <w:p>
      <w:pPr>
        <w:widowControl/>
        <w:ind w:firstLine="3168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widowControl/>
        <w:ind w:firstLine="3168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六、政府采购预算情况</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无</w:t>
      </w:r>
    </w:p>
    <w:p>
      <w:pPr>
        <w:widowControl/>
        <w:ind w:firstLine="3168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七、基本支出预算变动的主要原因</w:t>
      </w:r>
    </w:p>
    <w:p>
      <w:pPr>
        <w:widowControl/>
        <w:ind w:firstLine="31680" w:firstLineChars="15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（一）基本支出情况</w:t>
      </w:r>
    </w:p>
    <w:p>
      <w:pPr>
        <w:widowControl/>
        <w:ind w:firstLine="31680" w:firstLineChars="200"/>
        <w:jc w:val="left"/>
        <w:rPr>
          <w:rFonts w:ascii="仿宋_GB2312" w:hAnsi="宋体" w:eastAsia="仿宋_GB2312"/>
          <w:kern w:val="0"/>
          <w:sz w:val="30"/>
          <w:szCs w:val="30"/>
        </w:rPr>
      </w:pPr>
      <w:r>
        <w:rPr>
          <w:rFonts w:hint="eastAsia" w:ascii="仿宋_GB2312" w:hAnsi="仿宋_GB2312" w:eastAsia="仿宋_GB2312" w:cs="仿宋_GB2312"/>
          <w:kern w:val="2"/>
          <w:sz w:val="32"/>
          <w:szCs w:val="32"/>
          <w:lang w:val="en-US" w:eastAsia="zh-CN" w:bidi="ar-SA"/>
        </w:rPr>
        <w:pict>
          <v:shape id="_x0000_s1025" type="#_x0000_t75" style="position:absolute;left:0;margin-left:-35.95pt;margin-top:226.2pt;height:343.15pt;width:505.3pt;mso-wrap-distance-bottom:0pt;mso-wrap-distance-left:9pt;mso-wrap-distance-right:9pt;mso-wrap-distance-top:0pt;rotation:0f;z-index:251658240;" o:ole="t" fillcolor="#FFFFFF" filled="f" o:preferrelative="t" stroked="f" coordorigin="0,0" coordsize="21600,21600">
            <v:fill on="f" color2="#FFFFFF" focus="0%"/>
            <v:imagedata gain="74473f" blacklevel="0f" gamma="0" o:title="" r:id="rId9"/>
            <o:lock v:ext="edit" position="f" selection="f" grouping="f" rotation="f" cropping="f" text="f" aspectratio="t"/>
            <w10:wrap type="square" side="right"/>
          </v:shape>
          <o:OLEObject Type="Embed" ProgID="MSGraph.Chart.8" ShapeID="_x0000_s1025" DrawAspect="Content" ObjectID="_1026" r:id="rId8"/>
        </w:pict>
      </w:r>
      <w:r>
        <w:rPr>
          <w:rFonts w:hint="eastAsia" w:ascii="仿宋_GB2312" w:hAnsi="仿宋_GB2312" w:eastAsia="仿宋_GB2312" w:cs="仿宋_GB2312"/>
          <w:sz w:val="32"/>
          <w:szCs w:val="32"/>
        </w:rPr>
        <w:t>2018年部门预算基本支出为127.88万元，</w:t>
      </w:r>
      <w:r>
        <w:rPr>
          <w:rFonts w:hint="eastAsia" w:ascii="仿宋_GB2312" w:hAnsi="仿宋_GB2312" w:eastAsia="仿宋_GB2312" w:cs="仿宋_GB2312"/>
          <w:kern w:val="0"/>
          <w:sz w:val="32"/>
          <w:szCs w:val="32"/>
        </w:rPr>
        <w:t>用于保障</w:t>
      </w:r>
      <w:r>
        <w:rPr>
          <w:rFonts w:hint="eastAsia" w:ascii="仿宋_GB2312" w:hAnsi="仿宋_GB2312" w:eastAsia="仿宋_GB2312" w:cs="仿宋_GB2312"/>
          <w:sz w:val="32"/>
          <w:szCs w:val="32"/>
        </w:rPr>
        <w:t>迪庆州住建局局机关</w:t>
      </w:r>
      <w:r>
        <w:rPr>
          <w:rFonts w:hint="eastAsia" w:ascii="仿宋_GB2312" w:hAnsi="仿宋_GB2312" w:eastAsia="仿宋_GB2312" w:cs="仿宋_GB2312"/>
          <w:kern w:val="0"/>
          <w:sz w:val="32"/>
          <w:szCs w:val="32"/>
        </w:rPr>
        <w:t>、下属事业单位等机构正常运转的日常支出（工资福利支出）</w:t>
      </w:r>
      <w:r>
        <w:rPr>
          <w:rFonts w:hint="eastAsia" w:ascii="仿宋_GB2312" w:hAnsi="仿宋_GB2312" w:eastAsia="仿宋_GB2312" w:cs="仿宋_GB2312"/>
          <w:sz w:val="32"/>
          <w:szCs w:val="32"/>
        </w:rPr>
        <w:t>121.32</w:t>
      </w:r>
      <w:r>
        <w:rPr>
          <w:rFonts w:hint="eastAsia" w:ascii="仿宋_GB2312" w:hAnsi="仿宋_GB2312" w:eastAsia="仿宋_GB2312" w:cs="仿宋_GB2312"/>
          <w:kern w:val="0"/>
          <w:sz w:val="32"/>
          <w:szCs w:val="32"/>
        </w:rPr>
        <w:t>万元，包括基本工资，津贴补贴等工资福利支出占基本支出的</w:t>
      </w:r>
      <w:r>
        <w:rPr>
          <w:rFonts w:hint="eastAsia" w:ascii="仿宋_GB2312" w:hAnsi="仿宋_GB2312" w:eastAsia="仿宋_GB2312" w:cs="仿宋_GB2312"/>
          <w:sz w:val="32"/>
          <w:szCs w:val="32"/>
        </w:rPr>
        <w:t>95</w:t>
      </w:r>
      <w:r>
        <w:rPr>
          <w:rFonts w:hint="eastAsia" w:ascii="仿宋_GB2312" w:hAnsi="仿宋_GB2312" w:eastAsia="仿宋_GB2312" w:cs="仿宋_GB2312"/>
          <w:kern w:val="0"/>
          <w:sz w:val="32"/>
          <w:szCs w:val="32"/>
        </w:rPr>
        <w:t>％；办公经费、印刷费、水电费、汽燃费、办公设备购置等日常公用经费（商品和服务支出）40.80万元，占基本支出的</w:t>
      </w: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％；对个人和家庭的补助0.00万元，占基本支</w:t>
      </w:r>
      <w:r>
        <w:rPr>
          <w:rFonts w:hint="eastAsia" w:ascii="仿宋_GB2312" w:hAnsi="宋体" w:eastAsia="仿宋_GB2312" w:cs="仿宋_GB2312"/>
          <w:kern w:val="0"/>
          <w:sz w:val="30"/>
          <w:szCs w:val="30"/>
        </w:rPr>
        <w:t>出的</w:t>
      </w:r>
      <w:r>
        <w:rPr>
          <w:rFonts w:ascii="仿宋_GB2312" w:hAnsi="宋体" w:eastAsia="仿宋_GB2312" w:cs="仿宋_GB2312"/>
          <w:kern w:val="0"/>
          <w:sz w:val="30"/>
          <w:szCs w:val="30"/>
        </w:rPr>
        <w:t>0%</w:t>
      </w:r>
      <w:r>
        <w:rPr>
          <w:rFonts w:hint="eastAsia" w:ascii="仿宋_GB2312" w:hAnsi="宋体" w:eastAsia="仿宋_GB2312" w:cs="仿宋_GB2312"/>
          <w:kern w:val="0"/>
          <w:sz w:val="30"/>
          <w:szCs w:val="30"/>
        </w:rPr>
        <w:t>。</w:t>
      </w:r>
    </w:p>
    <w:p>
      <w:pPr>
        <w:widowControl/>
        <w:ind w:firstLine="31680" w:firstLineChars="150"/>
        <w:jc w:val="left"/>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（二）基本支出预算变动情况及原因分析</w:t>
      </w:r>
    </w:p>
    <w:p>
      <w:pPr>
        <w:spacing w:line="600" w:lineRule="exact"/>
        <w:ind w:firstLine="31680" w:firstLineChars="200"/>
        <w:rPr>
          <w:rFonts w:ascii="仿宋_GB2312" w:eastAsia="仿宋_GB2312"/>
          <w:sz w:val="30"/>
          <w:szCs w:val="30"/>
        </w:rPr>
      </w:pPr>
      <w:r>
        <w:rPr>
          <w:rFonts w:hint="eastAsia" w:ascii="仿宋_GB2312" w:hAnsi="宋体" w:eastAsia="仿宋_GB2312" w:cs="仿宋_GB2312"/>
          <w:kern w:val="0"/>
          <w:sz w:val="30"/>
          <w:szCs w:val="30"/>
        </w:rPr>
        <w:t>与上年年初预算基本支出</w:t>
      </w:r>
      <w:r>
        <w:rPr>
          <w:rFonts w:ascii="仿宋_GB2312" w:hAnsi="宋体" w:eastAsia="仿宋_GB2312" w:cs="仿宋_GB2312"/>
          <w:kern w:val="0"/>
          <w:sz w:val="30"/>
          <w:szCs w:val="30"/>
        </w:rPr>
        <w:t>106.26</w:t>
      </w:r>
      <w:r>
        <w:rPr>
          <w:rFonts w:hint="eastAsia" w:ascii="仿宋_GB2312" w:hAnsi="宋体" w:eastAsia="仿宋_GB2312" w:cs="仿宋_GB2312"/>
          <w:kern w:val="0"/>
          <w:sz w:val="30"/>
          <w:szCs w:val="30"/>
        </w:rPr>
        <w:t>万元对比，增加</w:t>
      </w:r>
      <w:r>
        <w:rPr>
          <w:rFonts w:ascii="仿宋_GB2312" w:hAnsi="宋体" w:eastAsia="仿宋_GB2312" w:cs="仿宋_GB2312"/>
          <w:kern w:val="0"/>
          <w:sz w:val="30"/>
          <w:szCs w:val="30"/>
        </w:rPr>
        <w:t>21.62</w:t>
      </w:r>
      <w:r>
        <w:rPr>
          <w:rFonts w:hint="eastAsia" w:ascii="仿宋_GB2312" w:hAnsi="宋体" w:eastAsia="仿宋_GB2312" w:cs="仿宋_GB2312"/>
          <w:kern w:val="0"/>
          <w:sz w:val="30"/>
          <w:szCs w:val="30"/>
        </w:rPr>
        <w:t>万元，增加的原因主要是</w:t>
      </w:r>
      <w:r>
        <w:rPr>
          <w:rFonts w:ascii="仿宋_GB2312" w:eastAsia="仿宋_GB2312" w:cs="仿宋_GB2312"/>
          <w:sz w:val="30"/>
          <w:szCs w:val="30"/>
        </w:rPr>
        <w:t>2018</w:t>
      </w:r>
      <w:r>
        <w:rPr>
          <w:rFonts w:hint="eastAsia" w:ascii="仿宋_GB2312" w:eastAsia="仿宋_GB2312" w:cs="仿宋_GB2312"/>
          <w:sz w:val="30"/>
          <w:szCs w:val="30"/>
        </w:rPr>
        <w:t>年度受调整工资，人员调动等的影响，人员经费较上年有较大幅度增加。</w:t>
      </w:r>
    </w:p>
    <w:p>
      <w:pPr>
        <w:widowControl/>
        <w:ind w:firstLine="3168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八、项目支出预算变动的主要原因</w:t>
      </w:r>
    </w:p>
    <w:p>
      <w:pPr>
        <w:widowControl/>
        <w:ind w:firstLine="31680" w:firstLineChars="150"/>
        <w:jc w:val="left"/>
        <w:rPr>
          <w:rFonts w:ascii="楷体_GB2312" w:eastAsia="楷体_GB2312"/>
          <w:kern w:val="0"/>
          <w:sz w:val="30"/>
          <w:szCs w:val="30"/>
        </w:rPr>
      </w:pPr>
      <w:r>
        <w:rPr>
          <w:rFonts w:hint="eastAsia" w:ascii="楷体_GB2312" w:eastAsia="楷体_GB2312" w:cs="楷体_GB2312"/>
          <w:kern w:val="0"/>
          <w:sz w:val="30"/>
          <w:szCs w:val="30"/>
        </w:rPr>
        <w:t>（一）项目支出情况</w:t>
      </w:r>
    </w:p>
    <w:p>
      <w:pPr>
        <w:widowControl/>
        <w:ind w:firstLine="31680" w:firstLineChars="150"/>
        <w:jc w:val="left"/>
        <w:rPr>
          <w:rFonts w:ascii="楷体_GB2312" w:eastAsia="楷体_GB2312"/>
          <w:kern w:val="0"/>
          <w:sz w:val="30"/>
          <w:szCs w:val="30"/>
        </w:rPr>
      </w:pPr>
      <w:r>
        <w:rPr>
          <w:rFonts w:hint="eastAsia" w:ascii="楷体_GB2312" w:eastAsia="楷体_GB2312" w:cs="楷体_GB2312"/>
          <w:kern w:val="0"/>
          <w:sz w:val="30"/>
          <w:szCs w:val="30"/>
        </w:rPr>
        <w:t>由于迪庆州质监站为二级预算单位，故项目支出预算数为</w:t>
      </w:r>
      <w:r>
        <w:rPr>
          <w:rFonts w:ascii="楷体_GB2312" w:eastAsia="楷体_GB2312" w:cs="楷体_GB2312"/>
          <w:kern w:val="0"/>
          <w:sz w:val="30"/>
          <w:szCs w:val="30"/>
        </w:rPr>
        <w:t>0.00</w:t>
      </w:r>
      <w:r>
        <w:rPr>
          <w:rFonts w:hint="eastAsia" w:ascii="楷体_GB2312" w:eastAsia="楷体_GB2312" w:cs="楷体_GB2312"/>
          <w:kern w:val="0"/>
          <w:sz w:val="30"/>
          <w:szCs w:val="30"/>
        </w:rPr>
        <w:t>万元。</w:t>
      </w:r>
    </w:p>
    <w:p>
      <w:pPr>
        <w:widowControl/>
        <w:ind w:firstLine="31680" w:firstLineChars="150"/>
        <w:jc w:val="left"/>
        <w:rPr>
          <w:rFonts w:ascii="楷体_GB2312" w:eastAsia="楷体_GB2312"/>
          <w:kern w:val="0"/>
          <w:sz w:val="30"/>
          <w:szCs w:val="30"/>
        </w:rPr>
      </w:pPr>
      <w:r>
        <w:rPr>
          <w:rFonts w:hint="eastAsia" w:ascii="楷体_GB2312" w:eastAsia="楷体_GB2312" w:cs="楷体_GB2312"/>
          <w:kern w:val="0"/>
          <w:sz w:val="30"/>
          <w:szCs w:val="30"/>
        </w:rPr>
        <w:t>（二）项目支出预算变动情况及原因分析</w:t>
      </w:r>
    </w:p>
    <w:p>
      <w:pPr>
        <w:widowControl/>
        <w:snapToGrid w:val="0"/>
        <w:spacing w:before="100" w:after="100" w:line="600" w:lineRule="exact"/>
        <w:ind w:firstLine="31680" w:firstLineChars="198"/>
        <w:jc w:val="left"/>
        <w:rPr>
          <w:rFonts w:ascii="仿宋_GB2312" w:hAnsi="宋体" w:eastAsia="仿宋_GB2312"/>
          <w:kern w:val="0"/>
          <w:sz w:val="30"/>
          <w:szCs w:val="30"/>
        </w:rPr>
      </w:pPr>
      <w:r>
        <w:rPr>
          <w:rFonts w:hint="eastAsia" w:ascii="仿宋_GB2312" w:hAnsi="宋体" w:eastAsia="仿宋_GB2312" w:cs="仿宋_GB2312"/>
          <w:kern w:val="0"/>
          <w:sz w:val="30"/>
          <w:szCs w:val="30"/>
        </w:rPr>
        <w:t>与上年年初预算</w:t>
      </w:r>
      <w:r>
        <w:rPr>
          <w:rFonts w:ascii="仿宋_GB2312" w:hAnsi="宋体" w:eastAsia="仿宋_GB2312" w:cs="仿宋_GB2312"/>
          <w:kern w:val="0"/>
          <w:sz w:val="30"/>
          <w:szCs w:val="30"/>
        </w:rPr>
        <w:t>0.00</w:t>
      </w:r>
      <w:r>
        <w:rPr>
          <w:rFonts w:hint="eastAsia" w:ascii="仿宋_GB2312" w:hAnsi="宋体" w:eastAsia="仿宋_GB2312" w:cs="仿宋_GB2312"/>
          <w:kern w:val="0"/>
          <w:sz w:val="30"/>
          <w:szCs w:val="30"/>
        </w:rPr>
        <w:t>万元对比，增加</w:t>
      </w:r>
      <w:r>
        <w:rPr>
          <w:rFonts w:ascii="仿宋_GB2312" w:hAnsi="宋体" w:eastAsia="仿宋_GB2312" w:cs="仿宋_GB2312"/>
          <w:kern w:val="0"/>
          <w:sz w:val="30"/>
          <w:szCs w:val="30"/>
        </w:rPr>
        <w:t>0.00</w:t>
      </w:r>
      <w:r>
        <w:rPr>
          <w:rFonts w:hint="eastAsia" w:ascii="仿宋_GB2312" w:hAnsi="宋体" w:eastAsia="仿宋_GB2312" w:cs="仿宋_GB2312"/>
          <w:kern w:val="0"/>
          <w:sz w:val="30"/>
          <w:szCs w:val="30"/>
        </w:rPr>
        <w:t>万元，</w:t>
      </w:r>
      <w:r>
        <w:rPr>
          <w:rFonts w:ascii="仿宋_GB2312" w:hAnsi="宋体" w:eastAsia="仿宋_GB2312" w:cs="仿宋_GB2312"/>
          <w:kern w:val="0"/>
          <w:sz w:val="30"/>
          <w:szCs w:val="30"/>
        </w:rPr>
        <w:t xml:space="preserve"> </w:t>
      </w:r>
    </w:p>
    <w:p>
      <w:pPr>
        <w:widowControl/>
        <w:ind w:firstLine="31680" w:firstLineChars="15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九、其他公开信息</w:t>
      </w:r>
    </w:p>
    <w:p>
      <w:pPr>
        <w:widowControl/>
        <w:ind w:firstLine="31680" w:firstLineChars="200"/>
        <w:jc w:val="left"/>
        <w:rPr>
          <w:rFonts w:ascii="楷体_GB2312" w:eastAsia="楷体_GB2312"/>
          <w:kern w:val="0"/>
          <w:sz w:val="32"/>
          <w:szCs w:val="32"/>
        </w:rPr>
      </w:pPr>
      <w:r>
        <w:rPr>
          <w:rFonts w:hint="eastAsia" w:ascii="楷体_GB2312" w:eastAsia="楷体_GB2312" w:cs="楷体_GB2312"/>
          <w:kern w:val="0"/>
          <w:sz w:val="32"/>
          <w:szCs w:val="32"/>
        </w:rPr>
        <w:t>（一）专业名词解释</w:t>
      </w:r>
    </w:p>
    <w:p>
      <w:pPr>
        <w:widowControl/>
        <w:ind w:firstLine="31680" w:firstLineChars="100"/>
        <w:jc w:val="left"/>
        <w:rPr>
          <w:rFonts w:ascii="仿宋_GB2312" w:hAnsi="宋体" w:eastAsia="仿宋_GB2312"/>
          <w:kern w:val="0"/>
          <w:sz w:val="30"/>
          <w:szCs w:val="30"/>
        </w:rPr>
      </w:pPr>
      <w:r>
        <w:rPr>
          <w:rFonts w:ascii="宋体 ，Arial" w:hAnsi="宋体" w:eastAsia="宋体 ，Arial" w:cs="宋体 ，Arial"/>
          <w:color w:val="000000"/>
          <w:kern w:val="0"/>
          <w:sz w:val="18"/>
          <w:szCs w:val="18"/>
        </w:rPr>
        <w:t xml:space="preserve"> </w:t>
      </w:r>
      <w:r>
        <w:rPr>
          <w:rFonts w:ascii="仿宋_GB2312" w:hAnsi="宋体" w:eastAsia="仿宋_GB2312" w:cs="仿宋_GB2312"/>
          <w:kern w:val="0"/>
          <w:sz w:val="30"/>
          <w:szCs w:val="30"/>
        </w:rPr>
        <w:t>1</w:t>
      </w:r>
      <w:r>
        <w:rPr>
          <w:rFonts w:hint="eastAsia" w:ascii="仿宋_GB2312" w:hAnsi="宋体" w:eastAsia="仿宋_GB2312" w:cs="仿宋_GB2312"/>
          <w:kern w:val="0"/>
          <w:sz w:val="30"/>
          <w:szCs w:val="30"/>
        </w:rPr>
        <w:t>、财政拨款收入：指州本级财政当年拨付的资金。</w:t>
      </w:r>
    </w:p>
    <w:p>
      <w:pPr>
        <w:widowControl/>
        <w:ind w:firstLine="31680" w:firstLineChars="100"/>
        <w:jc w:val="left"/>
        <w:rPr>
          <w:rFonts w:ascii="仿宋_GB2312" w:hAnsi="宋体" w:eastAsia="仿宋_GB2312"/>
          <w:kern w:val="0"/>
          <w:sz w:val="30"/>
          <w:szCs w:val="30"/>
        </w:rPr>
      </w:pPr>
      <w:r>
        <w:rPr>
          <w:rFonts w:ascii="仿宋_GB2312" w:hAnsi="宋体" w:eastAsia="仿宋_GB2312" w:cs="仿宋_GB2312"/>
          <w:kern w:val="0"/>
          <w:sz w:val="30"/>
          <w:szCs w:val="30"/>
        </w:rPr>
        <w:t>2</w:t>
      </w:r>
      <w:r>
        <w:rPr>
          <w:rFonts w:hint="eastAsia" w:ascii="仿宋_GB2312" w:hAnsi="宋体" w:eastAsia="仿宋_GB2312" w:cs="仿宋_GB2312"/>
          <w:kern w:val="0"/>
          <w:sz w:val="30"/>
          <w:szCs w:val="30"/>
        </w:rPr>
        <w:t>、事业收入：指事业单位开展专业业务活动及辅助活动所取得的收入。</w:t>
      </w:r>
    </w:p>
    <w:p>
      <w:pPr>
        <w:widowControl/>
        <w:ind w:firstLine="31680" w:firstLineChars="100"/>
        <w:jc w:val="left"/>
        <w:rPr>
          <w:rFonts w:ascii="仿宋_GB2312" w:hAnsi="宋体" w:eastAsia="仿宋_GB2312"/>
          <w:kern w:val="0"/>
          <w:sz w:val="30"/>
          <w:szCs w:val="30"/>
        </w:rPr>
      </w:pPr>
      <w:r>
        <w:rPr>
          <w:rFonts w:ascii="仿宋_GB2312" w:hAnsi="宋体" w:eastAsia="仿宋_GB2312" w:cs="仿宋_GB2312"/>
          <w:kern w:val="0"/>
          <w:sz w:val="30"/>
          <w:szCs w:val="30"/>
        </w:rPr>
        <w:t>3</w:t>
      </w:r>
      <w:r>
        <w:rPr>
          <w:rFonts w:hint="eastAsia" w:ascii="仿宋_GB2312" w:hAnsi="宋体" w:eastAsia="仿宋_GB2312" w:cs="仿宋_GB2312"/>
          <w:kern w:val="0"/>
          <w:sz w:val="30"/>
          <w:szCs w:val="30"/>
        </w:rPr>
        <w:t>、其他收入：指除上述“财政拨款收入”、“事业收入”等以外的收入。</w:t>
      </w:r>
    </w:p>
    <w:p>
      <w:pPr>
        <w:widowControl/>
        <w:spacing w:line="360" w:lineRule="atLeast"/>
        <w:ind w:firstLine="31680" w:firstLineChars="100"/>
        <w:jc w:val="left"/>
        <w:rPr>
          <w:rFonts w:ascii="仿宋_GB2312" w:hAnsi="宋体" w:eastAsia="仿宋_GB2312"/>
          <w:kern w:val="0"/>
          <w:sz w:val="30"/>
          <w:szCs w:val="30"/>
        </w:rPr>
      </w:pPr>
      <w:r>
        <w:rPr>
          <w:rFonts w:ascii="仿宋_GB2312" w:hAnsi="宋体" w:eastAsia="仿宋_GB2312" w:cs="仿宋_GB2312"/>
          <w:kern w:val="0"/>
          <w:sz w:val="30"/>
          <w:szCs w:val="30"/>
        </w:rPr>
        <w:t>4</w:t>
      </w:r>
      <w:r>
        <w:rPr>
          <w:rFonts w:hint="eastAsia" w:ascii="仿宋_GB2312" w:hAnsi="宋体" w:eastAsia="仿宋_GB2312" w:cs="仿宋_GB2312"/>
          <w:kern w:val="0"/>
          <w:sz w:val="30"/>
          <w:szCs w:val="30"/>
        </w:rPr>
        <w:t>、上年结转：指以前年度尚未完成、结转到本年仍按原规定用途继续使用的资金。</w:t>
      </w:r>
    </w:p>
    <w:p>
      <w:pPr>
        <w:widowControl/>
        <w:spacing w:line="360" w:lineRule="atLeast"/>
        <w:ind w:firstLine="31680" w:firstLineChars="100"/>
        <w:jc w:val="left"/>
        <w:rPr>
          <w:rFonts w:ascii="仿宋_GB2312" w:hAnsi="宋体" w:eastAsia="仿宋_GB2312"/>
          <w:kern w:val="0"/>
          <w:sz w:val="30"/>
          <w:szCs w:val="30"/>
        </w:rPr>
      </w:pPr>
      <w:r>
        <w:rPr>
          <w:rFonts w:ascii="仿宋_GB2312" w:hAnsi="宋体" w:eastAsia="仿宋_GB2312" w:cs="仿宋_GB2312"/>
          <w:kern w:val="0"/>
          <w:sz w:val="30"/>
          <w:szCs w:val="30"/>
        </w:rPr>
        <w:t>5</w:t>
      </w:r>
      <w:r>
        <w:rPr>
          <w:rFonts w:hint="eastAsia" w:ascii="仿宋_GB2312" w:hAnsi="宋体" w:eastAsia="仿宋_GB2312" w:cs="仿宋_GB2312"/>
          <w:kern w:val="0"/>
          <w:sz w:val="30"/>
          <w:szCs w:val="30"/>
        </w:rPr>
        <w:t>、城乡社区事务支出：指住房和城乡建设局用于保障机构正常运行、开展住房和城乡建设管理事务的支出。</w:t>
      </w:r>
    </w:p>
    <w:p>
      <w:pPr>
        <w:widowControl/>
        <w:spacing w:line="360" w:lineRule="atLeast"/>
        <w:ind w:firstLine="31680" w:firstLineChars="100"/>
        <w:jc w:val="left"/>
        <w:rPr>
          <w:rFonts w:ascii="仿宋_GB2312" w:hAnsi="宋体" w:eastAsia="仿宋_GB2312"/>
          <w:kern w:val="0"/>
          <w:sz w:val="30"/>
          <w:szCs w:val="30"/>
        </w:rPr>
      </w:pPr>
      <w:r>
        <w:rPr>
          <w:rFonts w:ascii="仿宋_GB2312" w:hAnsi="宋体" w:eastAsia="仿宋_GB2312" w:cs="仿宋_GB2312"/>
          <w:kern w:val="0"/>
          <w:sz w:val="30"/>
          <w:szCs w:val="30"/>
        </w:rPr>
        <w:t>6</w:t>
      </w:r>
      <w:r>
        <w:rPr>
          <w:rFonts w:hint="eastAsia" w:ascii="仿宋_GB2312" w:hAnsi="宋体" w:eastAsia="仿宋_GB2312" w:cs="仿宋_GB2312"/>
          <w:kern w:val="0"/>
          <w:sz w:val="30"/>
          <w:szCs w:val="30"/>
        </w:rPr>
        <w:t>、住房保障支出：指住房和城乡建设局按照国家政策规定用于住房改革方面的支出。</w:t>
      </w:r>
    </w:p>
    <w:p>
      <w:pPr>
        <w:widowControl/>
        <w:spacing w:line="360" w:lineRule="atLeast"/>
        <w:ind w:firstLine="31680" w:firstLineChars="100"/>
        <w:jc w:val="left"/>
        <w:rPr>
          <w:rFonts w:ascii="仿宋_GB2312" w:hAnsi="宋体" w:eastAsia="仿宋_GB2312"/>
          <w:kern w:val="0"/>
          <w:sz w:val="30"/>
          <w:szCs w:val="30"/>
        </w:rPr>
      </w:pPr>
      <w:r>
        <w:rPr>
          <w:rFonts w:ascii="仿宋_GB2312" w:hAnsi="宋体" w:eastAsia="仿宋_GB2312" w:cs="仿宋_GB2312"/>
          <w:kern w:val="0"/>
          <w:sz w:val="30"/>
          <w:szCs w:val="30"/>
        </w:rPr>
        <w:t>7</w:t>
      </w:r>
      <w:r>
        <w:rPr>
          <w:rFonts w:hint="eastAsia" w:ascii="仿宋_GB2312" w:hAnsi="宋体" w:eastAsia="仿宋_GB2312" w:cs="仿宋_GB2312"/>
          <w:kern w:val="0"/>
          <w:sz w:val="30"/>
          <w:szCs w:val="30"/>
        </w:rPr>
        <w:t>、基本支出：指为保障机构正常运转、完成日常工作任务而发生的人员支出和公用支出</w:t>
      </w:r>
    </w:p>
    <w:p>
      <w:pPr>
        <w:widowControl/>
        <w:spacing w:line="360" w:lineRule="atLeast"/>
        <w:ind w:firstLine="31680" w:firstLineChars="100"/>
        <w:jc w:val="left"/>
        <w:rPr>
          <w:rFonts w:ascii="仿宋_GB2312" w:hAnsi="宋体" w:eastAsia="仿宋_GB2312"/>
          <w:kern w:val="0"/>
          <w:sz w:val="30"/>
          <w:szCs w:val="30"/>
        </w:rPr>
      </w:pPr>
      <w:r>
        <w:rPr>
          <w:rFonts w:ascii="仿宋_GB2312" w:hAnsi="宋体" w:eastAsia="仿宋_GB2312" w:cs="仿宋_GB2312"/>
          <w:kern w:val="0"/>
          <w:sz w:val="30"/>
          <w:szCs w:val="30"/>
        </w:rPr>
        <w:t>8</w:t>
      </w:r>
      <w:r>
        <w:rPr>
          <w:rFonts w:hint="eastAsia" w:ascii="仿宋_GB2312" w:hAnsi="宋体" w:eastAsia="仿宋_GB2312" w:cs="仿宋_GB2312"/>
          <w:kern w:val="0"/>
          <w:sz w:val="30"/>
          <w:szCs w:val="30"/>
        </w:rPr>
        <w:t>、项目支出：指在基本支出之外为完成特定行政任务和事业发展目标所发生的支出。</w:t>
      </w:r>
    </w:p>
    <w:p>
      <w:pPr>
        <w:widowControl/>
        <w:ind w:firstLine="31680" w:firstLineChars="50"/>
        <w:jc w:val="left"/>
        <w:rPr>
          <w:rFonts w:ascii="楷体_GB2312" w:eastAsia="楷体_GB2312"/>
          <w:kern w:val="0"/>
          <w:sz w:val="32"/>
          <w:szCs w:val="32"/>
        </w:rPr>
      </w:pPr>
      <w:r>
        <w:rPr>
          <w:rFonts w:hint="eastAsia" w:ascii="楷体_GB2312" w:eastAsia="楷体_GB2312" w:cs="楷体_GB2312"/>
          <w:kern w:val="0"/>
          <w:sz w:val="32"/>
          <w:szCs w:val="32"/>
        </w:rPr>
        <w:t>（二）</w:t>
      </w:r>
      <w:r>
        <w:rPr>
          <w:rFonts w:ascii="楷体_GB2312" w:eastAsia="楷体_GB2312" w:cs="楷体_GB2312"/>
          <w:kern w:val="0"/>
          <w:sz w:val="32"/>
          <w:szCs w:val="32"/>
        </w:rPr>
        <w:t xml:space="preserve"> </w:t>
      </w:r>
      <w:r>
        <w:rPr>
          <w:rFonts w:hint="eastAsia" w:ascii="楷体_GB2312" w:eastAsia="楷体_GB2312" w:cs="楷体_GB2312"/>
          <w:kern w:val="0"/>
          <w:sz w:val="32"/>
          <w:szCs w:val="32"/>
        </w:rPr>
        <w:t>“三公”经费情况</w:t>
      </w:r>
    </w:p>
    <w:p>
      <w:pPr>
        <w:widowControl/>
        <w:ind w:firstLine="31680" w:firstLineChars="150"/>
        <w:jc w:val="left"/>
        <w:rPr>
          <w:rFonts w:ascii="仿宋_GB2312" w:hAnsi="宋体" w:eastAsia="仿宋_GB2312"/>
          <w:kern w:val="0"/>
          <w:sz w:val="30"/>
          <w:szCs w:val="30"/>
        </w:rPr>
      </w:pPr>
      <w:r>
        <w:rPr>
          <w:rFonts w:ascii="仿宋_GB2312" w:hAnsi="宋体" w:eastAsia="仿宋_GB2312" w:cs="仿宋_GB2312"/>
          <w:kern w:val="0"/>
          <w:sz w:val="30"/>
          <w:szCs w:val="30"/>
        </w:rPr>
        <w:t>2018</w:t>
      </w:r>
      <w:r>
        <w:rPr>
          <w:rFonts w:hint="eastAsia" w:ascii="仿宋_GB2312" w:hAnsi="宋体" w:eastAsia="仿宋_GB2312" w:cs="仿宋_GB2312"/>
          <w:kern w:val="0"/>
          <w:sz w:val="30"/>
          <w:szCs w:val="30"/>
        </w:rPr>
        <w:t>年部门预算安排“三公经费”</w:t>
      </w:r>
      <w:r>
        <w:rPr>
          <w:rFonts w:ascii="仿宋_GB2312" w:hAnsi="宋体" w:eastAsia="仿宋_GB2312" w:cs="仿宋_GB2312"/>
          <w:kern w:val="0"/>
          <w:sz w:val="30"/>
          <w:szCs w:val="30"/>
        </w:rPr>
        <w:t>1.98</w:t>
      </w:r>
      <w:r>
        <w:rPr>
          <w:rFonts w:hint="eastAsia" w:ascii="仿宋_GB2312" w:hAnsi="宋体" w:eastAsia="仿宋_GB2312" w:cs="仿宋_GB2312"/>
          <w:kern w:val="0"/>
          <w:sz w:val="30"/>
          <w:szCs w:val="30"/>
        </w:rPr>
        <w:t>万元，其中，公务用车购置及运行维护费支出</w:t>
      </w:r>
      <w:r>
        <w:rPr>
          <w:rFonts w:ascii="仿宋_GB2312" w:hAnsi="宋体" w:eastAsia="仿宋_GB2312" w:cs="仿宋_GB2312"/>
          <w:kern w:val="0"/>
          <w:sz w:val="30"/>
          <w:szCs w:val="30"/>
        </w:rPr>
        <w:t>1.5</w:t>
      </w:r>
      <w:r>
        <w:rPr>
          <w:rFonts w:hint="eastAsia" w:ascii="仿宋_GB2312" w:hAnsi="宋体" w:eastAsia="仿宋_GB2312" w:cs="仿宋_GB2312"/>
          <w:kern w:val="0"/>
          <w:sz w:val="30"/>
          <w:szCs w:val="30"/>
        </w:rPr>
        <w:t>万元，</w:t>
      </w:r>
      <w:r>
        <w:rPr>
          <w:rFonts w:hint="eastAsia" w:ascii="仿宋_GB2312" w:hAnsi="仿宋" w:eastAsia="仿宋_GB2312" w:cs="仿宋_GB2312"/>
          <w:sz w:val="30"/>
          <w:szCs w:val="30"/>
        </w:rPr>
        <w:t>主要用于保障出差、下乡等工作产生的公务用车燃料费、维修费、过路过桥费、保险费等支出；</w:t>
      </w:r>
      <w:r>
        <w:rPr>
          <w:rFonts w:hint="eastAsia" w:ascii="仿宋_GB2312" w:hAnsi="宋体" w:eastAsia="仿宋_GB2312" w:cs="仿宋_GB2312"/>
          <w:kern w:val="0"/>
          <w:sz w:val="30"/>
          <w:szCs w:val="30"/>
        </w:rPr>
        <w:t>公务接待费支出</w:t>
      </w:r>
      <w:r>
        <w:rPr>
          <w:rFonts w:ascii="仿宋_GB2312" w:hAnsi="宋体" w:eastAsia="仿宋_GB2312" w:cs="仿宋_GB2312"/>
          <w:kern w:val="0"/>
          <w:sz w:val="30"/>
          <w:szCs w:val="30"/>
        </w:rPr>
        <w:t>0.48</w:t>
      </w:r>
      <w:r>
        <w:rPr>
          <w:rFonts w:hint="eastAsia" w:ascii="仿宋_GB2312" w:hAnsi="宋体" w:eastAsia="仿宋_GB2312" w:cs="仿宋_GB2312"/>
          <w:kern w:val="0"/>
          <w:sz w:val="30"/>
          <w:szCs w:val="30"/>
        </w:rPr>
        <w:t>万元（包干经</w:t>
      </w:r>
      <w:bookmarkStart w:id="0" w:name="_GoBack"/>
      <w:bookmarkEnd w:id="0"/>
      <w:r>
        <w:rPr>
          <w:rFonts w:hint="eastAsia" w:ascii="仿宋_GB2312" w:hAnsi="宋体" w:eastAsia="仿宋_GB2312" w:cs="仿宋_GB2312"/>
          <w:kern w:val="0"/>
          <w:sz w:val="30"/>
          <w:szCs w:val="30"/>
        </w:rPr>
        <w:t>费</w:t>
      </w:r>
      <w:r>
        <w:rPr>
          <w:rFonts w:ascii="仿宋_GB2312" w:hAnsi="宋体" w:eastAsia="仿宋_GB2312" w:cs="仿宋_GB2312"/>
          <w:kern w:val="0"/>
          <w:sz w:val="30"/>
          <w:szCs w:val="30"/>
        </w:rPr>
        <w:t>2.4</w:t>
      </w:r>
      <w:r>
        <w:rPr>
          <w:rFonts w:hint="eastAsia" w:ascii="仿宋_GB2312" w:hAnsi="宋体" w:eastAsia="仿宋_GB2312" w:cs="仿宋_GB2312"/>
          <w:kern w:val="0"/>
          <w:sz w:val="30"/>
          <w:szCs w:val="30"/>
        </w:rPr>
        <w:t>万元的</w:t>
      </w:r>
      <w:r>
        <w:rPr>
          <w:rFonts w:ascii="仿宋_GB2312" w:hAnsi="宋体" w:eastAsia="仿宋_GB2312" w:cs="仿宋_GB2312"/>
          <w:kern w:val="0"/>
          <w:sz w:val="30"/>
          <w:szCs w:val="30"/>
        </w:rPr>
        <w:t>20%</w:t>
      </w:r>
      <w:r>
        <w:rPr>
          <w:rFonts w:hint="eastAsia" w:ascii="仿宋_GB2312" w:hAnsi="宋体" w:eastAsia="仿宋_GB2312" w:cs="仿宋_GB2312"/>
          <w:kern w:val="0"/>
          <w:sz w:val="30"/>
          <w:szCs w:val="30"/>
        </w:rPr>
        <w:t>），</w:t>
      </w:r>
      <w:r>
        <w:rPr>
          <w:rFonts w:hint="eastAsia" w:ascii="仿宋_GB2312" w:hAnsi="仿宋" w:eastAsia="仿宋_GB2312" w:cs="仿宋_GB2312"/>
          <w:sz w:val="30"/>
          <w:szCs w:val="30"/>
        </w:rPr>
        <w:t>主要用于接待上级部门工作检查等产生的费用。</w:t>
      </w:r>
    </w:p>
    <w:p>
      <w:pPr>
        <w:widowControl/>
        <w:snapToGrid w:val="0"/>
        <w:spacing w:before="100" w:after="100" w:line="360" w:lineRule="auto"/>
        <w:jc w:val="left"/>
        <w:rPr>
          <w:rFonts w:ascii="仿宋_GB2312" w:hAnsi="仿宋" w:eastAsia="仿宋_GB2312"/>
          <w:sz w:val="30"/>
          <w:szCs w:val="30"/>
        </w:rPr>
      </w:pPr>
      <w:r>
        <w:rPr>
          <w:rFonts w:ascii="仿宋_GB2312" w:hAnsi="仿宋" w:eastAsia="仿宋_GB2312" w:cs="仿宋_GB2312"/>
          <w:sz w:val="30"/>
          <w:szCs w:val="30"/>
        </w:rPr>
        <w:t xml:space="preserve">   2018</w:t>
      </w:r>
      <w:r>
        <w:rPr>
          <w:rFonts w:hint="eastAsia" w:ascii="仿宋_GB2312" w:hAnsi="仿宋" w:eastAsia="仿宋_GB2312" w:cs="仿宋_GB2312"/>
          <w:sz w:val="30"/>
          <w:szCs w:val="30"/>
        </w:rPr>
        <w:t>年“三公”经费年初预算较上年</w:t>
      </w:r>
      <w:r>
        <w:rPr>
          <w:rFonts w:ascii="仿宋_GB2312" w:hAnsi="仿宋" w:eastAsia="仿宋_GB2312" w:cs="仿宋_GB2312"/>
          <w:sz w:val="30"/>
          <w:szCs w:val="30"/>
        </w:rPr>
        <w:t>1.98</w:t>
      </w:r>
      <w:r>
        <w:rPr>
          <w:rFonts w:hint="eastAsia" w:ascii="仿宋_GB2312" w:hAnsi="仿宋" w:eastAsia="仿宋_GB2312" w:cs="仿宋_GB2312"/>
          <w:sz w:val="30"/>
          <w:szCs w:val="30"/>
        </w:rPr>
        <w:t>万元</w:t>
      </w:r>
      <w:r>
        <w:rPr>
          <w:rFonts w:ascii="仿宋_GB2312" w:hAnsi="仿宋" w:eastAsia="仿宋_GB2312" w:cs="仿宋_GB2312"/>
          <w:sz w:val="30"/>
          <w:szCs w:val="30"/>
        </w:rPr>
        <w:t>(</w:t>
      </w:r>
      <w:r>
        <w:rPr>
          <w:rFonts w:hint="eastAsia" w:ascii="仿宋_GB2312" w:hAnsi="仿宋" w:eastAsia="仿宋_GB2312" w:cs="仿宋_GB2312"/>
          <w:sz w:val="30"/>
          <w:szCs w:val="30"/>
        </w:rPr>
        <w:t>公务车运行维护费</w:t>
      </w:r>
      <w:r>
        <w:rPr>
          <w:rFonts w:ascii="仿宋_GB2312" w:hAnsi="仿宋" w:eastAsia="仿宋_GB2312" w:cs="仿宋_GB2312"/>
          <w:sz w:val="30"/>
          <w:szCs w:val="30"/>
        </w:rPr>
        <w:t>1.5</w:t>
      </w:r>
      <w:r>
        <w:rPr>
          <w:rFonts w:hint="eastAsia" w:ascii="仿宋_GB2312" w:hAnsi="仿宋" w:eastAsia="仿宋_GB2312" w:cs="仿宋_GB2312"/>
          <w:sz w:val="30"/>
          <w:szCs w:val="30"/>
        </w:rPr>
        <w:t>万元、公务接待费</w:t>
      </w:r>
      <w:r>
        <w:rPr>
          <w:rFonts w:ascii="仿宋_GB2312" w:hAnsi="仿宋" w:eastAsia="仿宋_GB2312" w:cs="仿宋_GB2312"/>
          <w:sz w:val="30"/>
          <w:szCs w:val="30"/>
        </w:rPr>
        <w:t>0.48</w:t>
      </w:r>
      <w:r>
        <w:rPr>
          <w:rFonts w:hint="eastAsia" w:ascii="仿宋_GB2312" w:hAnsi="仿宋" w:eastAsia="仿宋_GB2312" w:cs="仿宋_GB2312"/>
          <w:sz w:val="30"/>
          <w:szCs w:val="30"/>
        </w:rPr>
        <w:t>万元</w:t>
      </w:r>
      <w:r>
        <w:rPr>
          <w:rFonts w:ascii="仿宋_GB2312" w:hAnsi="仿宋" w:eastAsia="仿宋_GB2312" w:cs="仿宋_GB2312"/>
          <w:sz w:val="30"/>
          <w:szCs w:val="30"/>
        </w:rPr>
        <w:t>)</w:t>
      </w:r>
      <w:r>
        <w:rPr>
          <w:rFonts w:hint="eastAsia" w:ascii="仿宋_GB2312" w:hAnsi="仿宋" w:eastAsia="仿宋_GB2312" w:cs="仿宋_GB2312"/>
          <w:sz w:val="30"/>
          <w:szCs w:val="30"/>
        </w:rPr>
        <w:t>增加</w:t>
      </w:r>
      <w:r>
        <w:rPr>
          <w:rFonts w:ascii="仿宋_GB2312" w:hAnsi="仿宋" w:eastAsia="仿宋_GB2312" w:cs="仿宋_GB2312"/>
          <w:sz w:val="30"/>
          <w:szCs w:val="30"/>
        </w:rPr>
        <w:t>0.00</w:t>
      </w:r>
      <w:r>
        <w:rPr>
          <w:rFonts w:hint="eastAsia" w:ascii="仿宋_GB2312" w:hAnsi="仿宋" w:eastAsia="仿宋_GB2312" w:cs="仿宋_GB2312"/>
          <w:sz w:val="30"/>
          <w:szCs w:val="30"/>
        </w:rPr>
        <w:t>万元，增幅为</w:t>
      </w:r>
      <w:r>
        <w:rPr>
          <w:rFonts w:ascii="仿宋_GB2312" w:hAnsi="仿宋" w:eastAsia="仿宋_GB2312" w:cs="仿宋_GB2312"/>
          <w:sz w:val="30"/>
          <w:szCs w:val="30"/>
        </w:rPr>
        <w:t>0%</w:t>
      </w:r>
      <w:r>
        <w:rPr>
          <w:rFonts w:hint="eastAsia" w:ascii="仿宋_GB2312" w:hAnsi="仿宋" w:eastAsia="仿宋_GB2312" w:cs="仿宋_GB2312"/>
          <w:sz w:val="30"/>
          <w:szCs w:val="30"/>
        </w:rPr>
        <w:t>。</w:t>
      </w:r>
      <w:r>
        <w:rPr>
          <w:rFonts w:ascii="仿宋_GB2312" w:hAnsi="仿宋" w:eastAsia="仿宋_GB2312" w:cs="仿宋_GB2312"/>
          <w:sz w:val="30"/>
          <w:szCs w:val="30"/>
        </w:rPr>
        <w:t xml:space="preserve"> </w:t>
      </w:r>
    </w:p>
    <w:p>
      <w:pPr>
        <w:widowControl/>
        <w:jc w:val="left"/>
        <w:rPr>
          <w:rFonts w:ascii="楷体_GB2312" w:eastAsia="楷体_GB2312"/>
          <w:kern w:val="0"/>
          <w:sz w:val="32"/>
          <w:szCs w:val="32"/>
        </w:rPr>
      </w:pPr>
      <w:r>
        <w:rPr>
          <w:rFonts w:hint="eastAsia" w:ascii="楷体_GB2312" w:eastAsia="楷体_GB2312" w:cs="楷体_GB2312"/>
          <w:kern w:val="0"/>
          <w:sz w:val="32"/>
          <w:szCs w:val="32"/>
          <w:lang w:val="en-US" w:eastAsia="zh-CN"/>
        </w:rPr>
        <w:t xml:space="preserve">  </w:t>
      </w:r>
      <w:r>
        <w:rPr>
          <w:rFonts w:hint="eastAsia" w:ascii="楷体_GB2312" w:eastAsia="楷体_GB2312" w:cs="楷体_GB2312"/>
          <w:kern w:val="0"/>
          <w:sz w:val="32"/>
          <w:szCs w:val="32"/>
        </w:rPr>
        <w:t>（三）国有资产占用情况</w:t>
      </w:r>
    </w:p>
    <w:p>
      <w:pPr>
        <w:widowControl/>
        <w:ind w:firstLine="31680" w:firstLineChars="200"/>
        <w:jc w:val="left"/>
        <w:rPr>
          <w:rFonts w:eastAsia="仿宋_GB2312"/>
          <w:kern w:val="0"/>
          <w:sz w:val="30"/>
          <w:szCs w:val="30"/>
        </w:rPr>
      </w:pPr>
      <w:r>
        <w:rPr>
          <w:rFonts w:hint="eastAsia" w:eastAsia="仿宋_GB2312" w:cs="仿宋_GB2312"/>
          <w:kern w:val="0"/>
          <w:sz w:val="30"/>
          <w:szCs w:val="30"/>
        </w:rPr>
        <w:t>鉴于截至</w:t>
      </w:r>
      <w:r>
        <w:rPr>
          <w:rFonts w:eastAsia="仿宋_GB2312"/>
          <w:kern w:val="0"/>
          <w:sz w:val="30"/>
          <w:szCs w:val="30"/>
        </w:rPr>
        <w:t>2017</w:t>
      </w:r>
      <w:r>
        <w:rPr>
          <w:rFonts w:hint="eastAsia" w:eastAsia="仿宋_GB2312" w:cs="仿宋_GB2312"/>
          <w:kern w:val="0"/>
          <w:sz w:val="30"/>
          <w:szCs w:val="30"/>
        </w:rPr>
        <w:t>年</w:t>
      </w:r>
      <w:r>
        <w:rPr>
          <w:rFonts w:eastAsia="仿宋_GB2312"/>
          <w:kern w:val="0"/>
          <w:sz w:val="30"/>
          <w:szCs w:val="30"/>
        </w:rPr>
        <w:t>12</w:t>
      </w:r>
      <w:r>
        <w:rPr>
          <w:rFonts w:hint="eastAsia" w:eastAsia="仿宋_GB2312" w:cs="仿宋_GB2312"/>
          <w:kern w:val="0"/>
          <w:sz w:val="30"/>
          <w:szCs w:val="30"/>
        </w:rPr>
        <w:t>月</w:t>
      </w:r>
      <w:r>
        <w:rPr>
          <w:rFonts w:eastAsia="仿宋_GB2312"/>
          <w:kern w:val="0"/>
          <w:sz w:val="30"/>
          <w:szCs w:val="30"/>
        </w:rPr>
        <w:t>31</w:t>
      </w:r>
      <w:r>
        <w:rPr>
          <w:rFonts w:hint="eastAsia" w:eastAsia="仿宋_GB2312" w:cs="仿宋_GB2312"/>
          <w:kern w:val="0"/>
          <w:sz w:val="30"/>
          <w:szCs w:val="30"/>
        </w:rPr>
        <w:t>日的国有资产占有使用情况需在完成</w:t>
      </w:r>
      <w:r>
        <w:rPr>
          <w:rFonts w:eastAsia="仿宋_GB2312"/>
          <w:kern w:val="0"/>
          <w:sz w:val="30"/>
          <w:szCs w:val="30"/>
        </w:rPr>
        <w:t>2017</w:t>
      </w:r>
      <w:r>
        <w:rPr>
          <w:rFonts w:hint="eastAsia" w:eastAsia="仿宋_GB2312" w:cs="仿宋_GB2312"/>
          <w:kern w:val="0"/>
          <w:sz w:val="30"/>
          <w:szCs w:val="30"/>
        </w:rPr>
        <w:t>年决算编制后才能统计汇总相关数据，因此，将在公开</w:t>
      </w:r>
      <w:r>
        <w:rPr>
          <w:rFonts w:eastAsia="仿宋_GB2312"/>
          <w:kern w:val="0"/>
          <w:sz w:val="30"/>
          <w:szCs w:val="30"/>
        </w:rPr>
        <w:t>2017</w:t>
      </w:r>
      <w:r>
        <w:rPr>
          <w:rFonts w:hint="eastAsia" w:eastAsia="仿宋_GB2312" w:cs="仿宋_GB2312"/>
          <w:kern w:val="0"/>
          <w:sz w:val="30"/>
          <w:szCs w:val="30"/>
        </w:rPr>
        <w:t>年度部门决算时一并公开部门截至</w:t>
      </w:r>
      <w:r>
        <w:rPr>
          <w:rFonts w:eastAsia="仿宋_GB2312"/>
          <w:kern w:val="0"/>
          <w:sz w:val="30"/>
          <w:szCs w:val="30"/>
        </w:rPr>
        <w:t>2017</w:t>
      </w:r>
      <w:r>
        <w:rPr>
          <w:rFonts w:hint="eastAsia" w:eastAsia="仿宋_GB2312" w:cs="仿宋_GB2312"/>
          <w:kern w:val="0"/>
          <w:sz w:val="30"/>
          <w:szCs w:val="30"/>
        </w:rPr>
        <w:t>年</w:t>
      </w:r>
      <w:r>
        <w:rPr>
          <w:rFonts w:eastAsia="仿宋_GB2312"/>
          <w:kern w:val="0"/>
          <w:sz w:val="30"/>
          <w:szCs w:val="30"/>
        </w:rPr>
        <w:t>12</w:t>
      </w:r>
      <w:r>
        <w:rPr>
          <w:rFonts w:hint="eastAsia" w:eastAsia="仿宋_GB2312" w:cs="仿宋_GB2312"/>
          <w:kern w:val="0"/>
          <w:sz w:val="30"/>
          <w:szCs w:val="30"/>
        </w:rPr>
        <w:t>月</w:t>
      </w:r>
      <w:r>
        <w:rPr>
          <w:rFonts w:eastAsia="仿宋_GB2312"/>
          <w:kern w:val="0"/>
          <w:sz w:val="30"/>
          <w:szCs w:val="30"/>
        </w:rPr>
        <w:t>31</w:t>
      </w:r>
      <w:r>
        <w:rPr>
          <w:rFonts w:hint="eastAsia" w:eastAsia="仿宋_GB2312" w:cs="仿宋_GB2312"/>
          <w:kern w:val="0"/>
          <w:sz w:val="30"/>
          <w:szCs w:val="30"/>
        </w:rPr>
        <w:t>日的国有资产占有使用情况。</w:t>
      </w:r>
    </w:p>
    <w:p>
      <w:pPr>
        <w:widowControl/>
        <w:ind w:firstLine="31680" w:firstLineChars="200"/>
        <w:jc w:val="left"/>
        <w:rPr>
          <w:rFonts w:eastAsia="仿宋_GB2312"/>
          <w:kern w:val="0"/>
          <w:sz w:val="30"/>
          <w:szCs w:val="30"/>
        </w:rPr>
      </w:pPr>
      <w:r>
        <w:rPr>
          <w:rFonts w:eastAsia="仿宋_GB2312"/>
          <w:kern w:val="0"/>
          <w:sz w:val="30"/>
          <w:szCs w:val="30"/>
        </w:rPr>
        <w:t xml:space="preserve">                   </w:t>
      </w:r>
    </w:p>
    <w:p>
      <w:pPr>
        <w:widowControl/>
        <w:ind w:firstLine="31680" w:firstLineChars="250"/>
        <w:jc w:val="right"/>
        <w:rPr>
          <w:rFonts w:eastAsia="仿宋_GB2312"/>
          <w:kern w:val="0"/>
          <w:sz w:val="30"/>
          <w:szCs w:val="30"/>
        </w:rPr>
      </w:pPr>
      <w:r>
        <w:rPr>
          <w:rFonts w:ascii="Times New Roman" w:hAnsi="Times New Roman" w:eastAsia="宋体" w:cs="Times New Roman"/>
          <w:kern w:val="2"/>
          <w:sz w:val="30"/>
          <w:szCs w:val="21"/>
          <w:lang w:val="en-US" w:eastAsia="zh-CN" w:bidi="ar-SA"/>
        </w:rPr>
        <w:pict>
          <v:group id="组合 8" o:spid="_x0000_s1027" alt="iSignature for word and wps" style="position:absolute;left:0;margin-left:209.65pt;margin-top:-53.2pt;height:114pt;width:129pt;rotation:0f;z-index:-251656192;" coordorigin="5990,13365" coordsize="2580,2280">
            <o:lock v:ext="edit" position="f" selection="f" grouping="f" rotation="f" cropping="f" text="f"/>
            <v:shape id="文本框3" o:spid="_x0000_s1029" type="#_x0000_t202" style="position:absolute;left:7130;top:14505;height:480;width:1440;rotation:0f;visibility:hidden;"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eastAsia="宋体"/>
                        <w:color w:val="FFFFFF"/>
                        <w:lang w:eastAsia="zh-CN"/>
                      </w:rPr>
                    </w:pPr>
                    <w:r>
                      <w:rPr>
                        <w:rFonts w:hint="eastAsia"/>
                        <w:color w:val="FFFFFF"/>
                        <w:lang w:eastAsia="zh-CN"/>
                      </w:rPr>
                      <w:t>ZUMoY14gcGUxYRAla2Hfc18xYBAgalPfc2AyOC83aVvfclUxb1kuaizhLR3vHhAkalMuYFktYyzhUV4oX18jYRH+OfzJOFkSZVctXWQ0blT9CPn7U0ASZUMoY14gcGUxYS3MBiwFaFEmOi=7KzYrXVb9CPn7PWAvSlEsYS4WTEONwMeVHCftLRf4KiDtLB3zLSX2KUX3KiDtLB3xLyHfKRAAJSvuPWAvSlEsYS3MBiwDa1MIQC46MjTyQTLvMCPsQSb2NBzzQjMCKSkFPi=sPTHzNCYCPyQCQiH2eSvuQF8iRTP9CPn7QF8iSlEsYS50y7er0s18pMa9tZRyyMaJva973KZ8tcy=6cV9Li=wNLSpsrhxu7OE0JSK36Gf0raKsbO2OB8Da1MNXV0kOfzJOEMoY14gcGUxYT4gaVT9sb+G6KKX09WW0MaN0s2Wnad+tr1yw7+muZiI5K6VOB8SZVctXWQ0blUNXV0kOfzJOEMoY14gcGUxYUUyYWINXV0kOsdgs695yaOGy9d8pLmnusX7K0MoY14gcGUxYUUyYWINXV0kOfzJOEMoY14gcGUxYUUtZWQNXV0kOqWOw9xx1Mek08SVysac05F2u6qMr7eO461nxdh90ivuT1kmalEzcWIkUV4ocD4gaVT9CPn7T1kmalEzcWIkR1U4Tz39LCH1My=vLCTwLi=2LCXwLyvuT1kmalEzcWIkR1U4Tz39CPn7T1kmalEzcWIkUFksYS3xLCD3KS=wKSLvHCD1NiHwNiD3HB=nxqF74MRzvKSW0MOZw5mUvqe9yuGF8xj7K0MoY14gcGUxYUQoaVT9CPn7P18sbGUzYWIITC3xKi=tLh32NSvuP18sbGUzYWIITC3MBiwCa10vcWQkbj0APzEjYGH9MCPsNCbsQjLsMiXsLiPsLDP7KzMuaWA0cFUxSTECPVQjbi3MBiwPZVMEdGP9KlcoYivuTFkiQWgzOfzJOEAoX0coYGQnOiPtLCTvLC=vOB8PZVMWZVQzZC3MBiwPZVMHYVkmZGP9MB3vMS=vLC=7K0AoXzgkZVcncC3MBiwSZVctYVQCa14zYWgzOivuT1kmalUjP18tcFU3cC3MBiwSZVctXWQ0blUVXVw0YS4hYFP0MCgkL1EgXyjvLicgXVLyMlXvYSbzMiHvLlTyLCvuT1kmalEzcWIkUlErcVT9CPn7T1kmalUjSFUtY2QnOiLxOB8SZVctYVQLYV4mcFf9CPn7T1kmalEzcWIkS2IjYWH9LSvuT1kmalEzcWIkS2IjYWH9CPn7UlUxb1kuai4VNB3wKi=tLiLxOB8VYWIyZV8tOfzJODksXVckQDL9TiArQz8DaFfyYzQkPUAiPTEPK1DxchsTZx74QEDu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QzYBPTIAZjEmZDEUTTQFZWgAcjIvQF8yR0AHZmkBQFkndDoyaUQCZTIURDMBZjEybUgLaGk3VDMvZWAEVTQJaWondiYzdDoEaUgFaEQCQDMnLFEiLkoEalsoUDsrLmDvP1EBZUUCRkMvLTsrR0oTbFwodlEsUTkqUzQGbTYTQDQmUWHwQzwXbkcpUD0tU1EUbWghbUcTREcrTjwzdSUObTcPYGouczsjcUoha0EGSVInTiPwXSUncyI5NR8zLTwiJ0AZbGgKTDUyMyP3LikLbyQidjk2MmLwJ2IpZyQWYjw1c1EjdWAsdlEodkQzTSbxQ1wublkJRiXuLlM0clINLVEYcDQqXT4NJ2gic2IgQFPyT2QkS2g0ZyAiaiU0cyjwXjg2MSE2MWTzdibqJyUMY0EEQ2YCMDouRFoVM1QCQF7uNGMPViAoYTo1YzYWVUgmQiErLGIZQV4gX0AlM1b2LzECcyU4TD0paB8mdWXzNV4STlQWTTwuTmf4XUgVQTUVLlotRFQlTkMrYWQ3dCEqa1gsQUbwUTf3cEkXU0DzdToOQjgEPSbvRUglSzkWTlYVTTIsTz4kRlYnUkgIQVcAbzUTXkEzX0I3aCkyVGEsZyLzPlw5XVooUVkiQ0ojTl80LCMUUkkpQDQQQFcgaWcZRzsKTzD3U18XUTz3c1sTUFnwZFQGQkMHJycrREEHVkPybFgqZV0lQmkJMTQYRmDwamAPVVsRX0QrZ2QVU0n1TDItLF8ZUUIkS10SaVURRzIwTiIjPjoVU0kFYCAXZEUqUDITPmkZS1YoSGEsbCQ2TR8kYlYocyYRMVUKTUgLQTUtMCT3ZmYYUV7zLGEkcGUnSGIqQ1EJLTrxbkQsaCENU2EnR1YsbjvuJ0MSPVcXRF8EXV4TT0MYbVoEPmgKR2UFVFswRl30aUAQZl4QYFHqdRszbTE4YTwwQWAkM1UpZlQydUknYVENNUQuRkoWQzEVTFsmbGEwLRsvS0YLLyAYbmIZPWApb0ElYVowcVwoMTMMZiMGblImdFMRamYSSScwXTL0QCUPU0f2QTU3QGM0ZUQALDIzYSIZRGYtbV0udkYDY0gzcmYsJyI3TDQBSULwVSA0QiEZZFsmTTzxVmE3RkYlXiX2Lz8waFkUdGYtM1kBJ2IHND0gUT0iRl8TZFwvUTMOXhsCdFYNYFUWQVIxYEYtZGEQbiECXV0VUGAVXV8yXWYucVM1ZUQrR2D4SjwJUzj2bmMuU1UnVkIsaWQOUyY3Uh8SSFEtR2QRTiYycGUldT44NVYNUB8kMjsHaCgoYGgqcWYgXVwFdFjxTiAGaycWZVDxaVkyZ0HxcB7zYUIkUiXwcVEXXVwwXWEqR0L1SmARckQHZyMZUFYpUFokYUUMaycpdmc5a1kgUzIpViAsZ2QhMDX1Kxs0aFP0QzQPdjMwMTYNb1MkYUMsc2UgUmIZZzwCYVYKSDEPNDYKTmAOalwndUAkbSjxYDUoS2UHSzsmU0EXbGIxRTMlZDgxcCQXUVTqQUMzJ1Ylam=2Ql0waDs1RCQuMRsQPkIVcmjxNF8NR0fqUigHRV01RikvPyUxc0X2T1X2aUgTVlEVa0AvaT4oMSItZFw5PloSJ0gHPVQyRWU0NDjvNScZXlokMCgLP2YKYjz2LGYRS2A4K1wKT1wYLkcHSCk2a2kxLj4NNDMBYFj1PzomQlE1QUIFblY5TVoGYEogb1otP0gMVRsZPz0XLFISQGAAKyIDLlc2NCT1PkAHZS=zVTQwSDEhUDTyVEUvdEQRJ1EWQV8yRDwDKykPSiYmXSEwaFsAPWARYCIJVVsBbCIpVT7vTVv1RkACUSYwTDErYUjzXl0sLTcKSF0EVEkYdkQNdFYFQj8YalgvUyAIRBsKZTIyXUAibWYvZGQnM0cJP2gBM0IqQDkWTyUPK0kMRSfzMjYMQkcFb0kqYifwcET0Z1oEVFgtQjoqP0oIMiXvVlgiMVksbyMncGcpLFcoQGIIbTYxLCQ3aj4jMTcKXjgVcCEzSjM2bUcjMEEgUBs0SzQIdl8tb0QoQiTwbTU0LjMYZFQQNTkTP0oKa0EPU2gMQVcUZkEAaBsZP18tQ0cXZj0QXiUrXkUHZEcKTyIwbDzxQWkWM0kqVSIrclE5REUWP0YNQz0DUWolRVfvZT0YRlLqQWkGPUMKVUHwZ1QJYWUoZWU1bkI0TTMUUV8BR0fxTiYNYzYFPlH2TEbwTEPzdGkmSkQGVjsrQzYITkAtKzUnMmD1L2=qNEckXTsLU2oVMFwNYUMsTyUQVEoCSjQwZTMrL2LwbDk4SWjySSAKMloVbGDzUzj4RCUtREEYa2kPVjYKZ0EZVjoTRBsYP0E4cTgQTEguVjYTVjQSZlnvYTwOURsZVTwRbkQTcFgDbFgqclQYcGD2QDcYbGYvLWMWLTULdjfucj0BUCIyVVkJdFwKTkIocVsPS0YhdSTyPWMBVmorbTYRT2QOTlwjLCPxSWf0YUoGa0UEbFEFXzQMbyjzPVwoXmnvQjEWLV0JUjIPaD0tQ2Y3Y1wBPTgLSDInZ0MRZTksUzwzZD8YLVw5LVgCVFIwSyISXVgBREMtUzYsbzwUUzgNQzwHYCUZVVzvLFENQl0VVSAmP0UNUSILQls5YDIqLFkwVED4ZlD2REjzTSP1ajskJ2QgYGIPXWgIMWQkNWMWSCEjZjL2MV0ocz31S1HuMmE4ZCkMXVEvQBszTmEETFQFclghLlcTThrxUmYZRSgCbWYhVWAELmIgNVYoXVwzMSgVXUEMVj8EbEoZUkoCMzEKcDwVUiAJLSIsR2AldUL0aiEvcj4icFjxTVkPdUU5aUkPQVnuLFMYdFM0QkEzZzMTVCMrU1QwMzksZ2UDbSUPcVsvL1zxYTsNNGA2LVXxMVUNXTQNbUcOLVs1YFf0TCkzdVoKJz8yZEHuYBswLEA3MzsXNEYiXmj4XiETTzM4ckIAbmoUbT8tUTksPSELLSb4c2YQdTQrXlwHdFMnbUIKdSD0J2ksbS=xRV01R2oKPyQsKyMAaEf2MlrwX0oNNTMWQlELTyL0RWEwS2ckUF8GPykwMhsya1EkR2UKTWETcUkHUl8CTlsLLlEAaT83aFovZF04bkgkPmL3UUEvVjsRSWAPLkHwc2XwRTstNSgGVDP0Tx73aUELUGXyRzsFLU=wa10IZjP1ZWkLXyc5U10vRzUvaEbqaiMTRSELcTMgcFkuVlUudWkSVjQPXz8jdTYHSWUSLiPuSGgPRDsiLWDyajsYVigNZCghPScib1olTkgoZyT4Ql4BVVQGQzM2ZSPxVmEQUF4GQyj1cVcAZicwX0IGQTspaForUjbvbmI0SyciVDUwQFsJdUEmTmkyViLxVGYnXiQTT2M5QCEmSWgFXUEEQxsAQyIYZzMzQSMhQzk5UFHvX1ruPlMwJzz2MWouXjoudFwhamTzZUP4Y0bubyIhUmMoazXvMSUISGg0Ux8GdDMzVT8YTDwtUSc3LzQCRzUnZFQ2Mlb0LWoIZ18xLEYWXUEwVmIEPyX3bTr0aSUrQ1gkZzr0MiYtSxrqbiYRPkIrMGLqdGIlPzYSSWgzcEMKdkYgSFP1cTknLVw5ViEZVF0PX14vSB8KXjQUdjsIJ0bwYSbwNWINXVT3P2QkR0QKMCcsPl8YbFYKb2D2MGUxbmLvUyYzTmEXMEgvdUMuaCQlcVM5SmE0dT34U2czckgTUD31UkMHR0cwUFYoZlP4Y17uRjEkMWQYTTwjdlMmRiIuYmQAaEM4QWoGbVDvRGglQTQFLUoxYlkrQkcvMVYUYVQJbUoxU1IgUVEjcToXNV05UDjxS1wTUhsKUmURcWAUZl8oZF0ETCL3ajEJTWI0MzIgTkoRLRr2PTPwajorRGfwL1cRVFz0UlYHXj0udFUTcUMTX1YXT2gIY1D3YEkGXSk2cVH3Ulo3L1sjXyMMc2IpMFQIXTcNQlQHbEQMZFEWUFQoNUD1Vj0vcSMXb1PwalUFVDYPakUQTEQ4LTTvdiHyaGUgPTn4UVIZcEkxYFzqaSL3b0QMSi=wYRsKST0jX2kGSEgLQlQPdV05K2oyM0AtZWkxLic0TzsFNVYwQiMhMkUtXT8iVSkPViYvSGksbUAjL1UUVEo0aFEkbkMoMUcYZ2gHcUYkcjUjcCDzSmkBYkU3SjoGPTwPX1Ymc0kZZUINRGbvTmMDVFMRZjYFaCUxTiLxU1Q3Lz4jcjsgSWg2P0Ypc0cFYSYBYD8laEItK1MVTzsPYGEkL0IDRDYQUTIsVVMzQ0IqMGAEbkIrTiUPQVQBcDgVaUkDVlsKXkX1Sj4jMkkWSmAJM0EvMUQJcCAEQSgiMkk5QCMnK1v1QVH3QUIgalkYNWIXYFgnKz31Qygjcj8UZDosaFMlJzQkPyYSYTQ1UVQCMEMiZ0INYCUQMUEpTGUiMFkWTV8mMEoDLV0iVWgPSiEwUTX0ZiAWRFYnYG=4U0EsclEKPyYKYFU3MjcHbj8RLlQXQSEoL1P2Y1IYc0bzYyIvLjYrUT0gQVvuNEcHU2YuYzP2LFkGaTIgQhsVY1EqTjoHX1wkMD8rSzUoQ1TwRTkWcicERWI1PjsKaTgSZSUpRGIqZTgKLzUlVVfxRF0gQEouXWkkR2IVZFgSQ1YFMTUQbF8FYlQOVDbqQUgkSyYGVGb0LlQ5YVgXazgGQyEqaT0uSUUHaFsHYzTvVVMSLEkiND8uYmDzQFP3RlgkLVEURycoMDgJRjIGTkkFXT8HP1XvXzgZSkfyVFMrVEAkYF0ITGEVY1M0VDoYaTgHQEUTR0chTjcOSzUoUFIXXkXuajr1a1ggNFTvZDDudDc1SEkVdCMqSmjzQDsPbWgpT0=yYEc4RFsDZDIULCQIY0AXa1oAPyIFJybvYUUxZVTqS14GMCERRyQ3PloZbFgWK1oUYEUDPzTzcloGMV4HZ0k2PkIyMkgkU1w5Vj8BQ1cIRyQTdUoIRz45RUUGSF8JajvuPUcDaGMTRVEvMCkwNCQ3S0UYYyIEaCkrVVoZYmctREgVMTspSWfyZzUZUFrza1QLaUcNSmA3bTovQUEXaTcEamEGJzszUTgoYFg0VWQvUFT3USbwQzXwYkURU2HzLy=zTkoLNDsCMloRTyAOSl80X0IHaDv0RTwhY0I1MkXxaFbxTlYrTUHvSVkDLSYgUjQQYTIlaz8FYzQFQCD3aTg3ZyArcjcnZ1LxY1zwNGMsKzQjLiIWSULwP1UGUmUvUzovYUgSThsFZSEMZWkjZUcVK2gISDPqQlkJVkIPPjEvPzv0RUUlTmgVZmkTZV0raikPZToYTkcHckkmMToWTUkAbyk4Th8zRFooSzMyazYCclU4RjUubUMCamUBXl4KQ2ksNWAvZWUZYUkKVjwGQ0QEXzkUY1P4RWEBRSMYbTTzQ0Y2MTfwUV4jP1w3ZiMEalQIRkMjSh7wZEUqYTk0ZzoNbjwzZUY5LFwhVjcWSWIBTmAmLlwBLT8JZjgEXUA0aTYJMj0Ncjb1ZGL3M1UIMmkMZ2UvQz0tK0cQaF0KR1DzZTwCZUojK2IKVWfxQkMkdEYiRVkkYDILUmgiLjUUaVsgRTIXZ2QNYVkOUCMsPV0iX2=0YEoGdiMKSUYMaGcBSUEWZz4RREgsRlYmPUImJzgFbmEVSSUiMUYtbmcJTFonQWYtSjUgQD0sQWH1Z0kOVl8RcFoYazXwaFgNNFkncEMNVDMoUjIKYkE0SRsNNTw3RmcYTj4nXUISTiMmUzEOMGAwYzYGTEMVT0XqZzsOPzIJTTskUlHyP0IPK0EGQ1UYX0oKdD4lMSMVUTczbDEtTjowUicvZGMEaBslLkcmUEIwakotRSkFYDcGYDkNPz0wa2MMLjkxdDwNcGYrXyg3bkY0bkQgQV4PT0IhTCkDVVQlZjwobSMVUmkYQ2otVjYncToXTCcVZmInVlcYYWEGdVgrRj0uPkAVcUUoZjsETFMndl0UcEckMl4YRmfwLGEqdDYtRkj1UGo1UkcZbWEnVDH0UWUPVF0jc0gsVFIBU1gSVVQ4akQMXWfvQz0iVFgNZ0YlQ1opaDEKUD0iMiEgaCYpSiImQ0UASTYqYiUJbjQVbT3zUzsrcCc3S1ExRjgQU0oVYGkUVkP3RzYWUWESXmcJQSERZjsqVGkTSmosQRsSVjcQc18uRhsTbTIQVTrxJ18Gb1MuUFcuUz4OZSUsNCQFZ2YFQkUCX1wWXkkUQ0QnMFw4TTouMGAZSzQtVDw1YSYFcDwBRTYiQz8JRDIINUT1QTLuMVwoaTYVbyQYSFsULV4CPTknNB84aybzamIZVTsOajUKYTUKUkQyP14EPlr2XzYHQzkOMEgNb1EVYEULK1Q3YyQELl7qMTkScTMWYUUkPzIFJ0gPXUYYZWQULWHwLWAmYV0ZPhsydV02MkkTVkcJcyIBMzD1dFr0RlU5NFgSdFPqLCEycyIpRFUwRjYOZycJaz0gZEPqMz0ULSXwQDXxbWQgXVc0bTMALzsuYiL1R1n3PSMJSF8WaUYCRz0DMmAvYzoBZWcBMVgVZWkUJ1wrP2I4PkQzaEYFMGD0ZEYrbkYWTjQBclQXRVQFbT01P0MTcmUIKzoOQSQJQjUTdSYKSSQSblIiJzMsLWAGZlj4QV0nQzoNRkHxLUggbFURPjk2dWguRF4VMFswMVIYM1sgVWgCRUQ2UzbzRV03SSfxUmYqPSUWZSkwUzfqZ0YjRmIgSz8HYV4EamPvUUgiLCASMDgkXmcoJ2ICckb0NTXzVSgpMFE5PTLxa2YnLlkTdWIMZyIsLT8Gaj4ZY1vwZj71diXuK0k1bUQgLmEWa0EhZ2QWckooPSkhR1D3QzbxRjkZZFD4RWgpYzb1bmIKSVECZScRT18oPjwNUTQQTykzSFsRVF4uJ1DqRjcWcjYRU1IWY2Aza2USYTsiXzgyYR80ZV33RVwpcCEtPR8ObTX2RVM5LmondjYZSWUWaDrqZlonPkApaEgNX1QQUFwocjwScSQvQkoyMCESMzoZQiQ0QEIQTWgVK0AnZTUsXV0FZ2IRbjoRRkoja1cUaSUrZVUpbFMlaVk2PiknRFYrX1r2TVESK1owQj73UVb3cWMuZSAVRicnbycLSmcURUIxQjQYVjzzJ1zwcV0mbWnqX1c4YEn0Lzc0byHuT1gYSmMrXSEqT2gLb1MIUGEQXkcPPyYDcTvzbVUCc0QQcTnvS1UOUlfuSWIyLWcwaUoVbmb4RGM4U0YlTSYnNWUrRjYkLFMDcEULUzjuQVXqdV8zVEISUWUoXmkobG=xYT0LLjghdCQLSUYSRloVPzv3Q2chMWUKMEYOUl8DTEchbUAhX1s1JyLycFkRbFcmJ0IzNGPvSkQRMVMDUSggVWYwVFguNDcYZ0UsMlUMdV4mVD8rP14XZiQ4ckIYREcNakUSVEb0RUUZbzkrbV04NTcxYiMAREAVQkcYUCIYZF4yLkgYNFgmdD3zTEAga2oPPzcmbUoqQkMPSFHzQTc0LEIGXUUuaVkVaV8ZbjcydlDzdUcgTCIrPykuVDMINGb4bjgSMCk5c2YtXlkXVCA3J2EyUDzvdWE3RGMIPzD0TiEiRl8kPWIqMFESdlY1SVUPbCMOUWYSSUMxMGLuSjgiZE=3ViH3QF0QamQoUzIIRjU2R0nwU1whXWjxXkAoSTw4MlM1TlP4YyQPM0gLTDoLc2f3QyYYRDgINUbvaEUuT1wMb1MVQB8sQUgSRDIybzMZPzoWSjsxX2QKRzX0ZiT0X14FRzQYZkAjSUEQMiPuYTnvM2YZbmATSj4sJykISVwJZTYjNTTycEMQMT7zPUUlYEARRzwwdmgWalE4UkIQNFsJNRr0TFIFdSkxUz0yUGL4RVX2XmA2SSYhYlQVVVr0UlowbjYjUGDwNDEXSj4DRif4MkEobSg3UR8ZQmQZLl0VMTo0SRrqcWHzLjgKP1EONBsJSFMpZyESczUSU2EoTjsPckciXTQsQFL0XVr4cEIxKzf0SjYDUmg4K2MrSGA3U0E4UFQtLWcYZ1kJa0gOY1QZTG=4UlU3NUoSKzchQkD1SWYqb0k2ckYSdh8gQkInSjQBMj4xa2INVikRZV45RSAnRGAja2cLX1jyakkHP1MzbkT1NWYYLz4pZjwDP1UmUk=1U2Q2L1Qzc2kQNGAgbTfqXyMiRWA5UiYRKyYSZkTvTFHwSy=xS1QiXTzxYB8ocEAjRVbwKz4zLh7xM1YUMCTxUmQxdTQWREAMamMXXyM2XkT3UGcuMkAzS2AMLVQ1Uj3wc0kZblkXZDsOcTcyNSTwaCXzclT3ViMlSl0xXycjdCIKcEHvc2UZK14BRyQTYkAlZVsJNVjwc2UzPSIrTCXwdGEuSkcRM2DzQFH2XTI2TEEgTCMFbWUkU2YYTzMZZmIJRhr2YCLwRSHxTUQGRjbvYEQ2S0DudlopcDUrSzwPbUYWSyMDSGH0PkHqalo0RkYMTUT2QEkZdBsPPUoSTl8pZ0g3ZSMkLEEwaFk4LEE3M1wUZicrMVQuJ1MwcWE4c0kkQ1HyaGjuQVYBL0k2JzTxTyYmLVIZPSQqbD0RY0YuMiEObl0CXVQhaVMAUyDxdCHxU2M4ZzcrM1H3LmoUTEcGL0QGbl4iQFjqR2kJb1juNT31Sxs3MV0qdD33LmL1PzsxL2coZTUkazn1UFIVXjoWVEAvVlUzLlYZMSE5QWYFQTj1TicJVSgJZF8RbV4OLj7qMUQlXiEZRj8maT8YMCgwUSYpM2UvMGApMDMQQCEvMyMWRTQHSUoYYVQiaTwsUDwkbSIxXiEEYUX1SEgza2TxcCH2XmgNXjsZbmgwLF8gaz8kcFcEZ2MYcScAbDcuY14ucz0UNTjqckMISDs5MEYwX2oUb0kgaiUkTFksayIAbSfzUjIoZWEULSIPb2MwaGYJYTcnREnzSTHwNF8FYT4VcTwnbFrzch7zUV0NYCIrcFwyU2PybGo5SkYJRCbvTDENcD8yZVwIUkYVZGn3dVgIVUoQbiQTVlnqXUYyUlEQNVnvVjMidSMDT2AJRUgUb1s0dj8tRTsXLGgOTSgpbUnuU1MXc2UgNULqSmgnRCczTTgGZzfuaBrqVlkEZSgJT1QQSyIzSEn0QzQ2cjsBLVUkPl4odGMFS2nvVF8HTGPyVl4qckAQPUIUPWkic1wBckMgLlYPSWYUTmYZUUYmdSElQUMTUijzJygrUFYUPzQ4ZCMvXkXwblgxbGEodEc4J2EnUWQ5NWklP1gLbzrwQVgwYBskKyMpPiE5SSQzPjsXUmMvTEI5QEciVGQvXmP2SzYzQjUhJ2TyMWcDSGAIMVfuPl4oJzEhaSHzRVMuMzQwbRsqdSQQa1wMXjvwTj3uK0kLPSD0YSfvRyDyZT4SVGAYSmj0TTgSTmYIX1oQSEPwQDEGaUIKVSAIS0PvQ2UkQzz3RR8jTkc4b2cCYWQFZVk5LkTuYGovaFwLaDMNbiQ4NV0uZWEMTlMJTVXzLR8ILjUCcyY1ZikrcSMDXyUlMFY0RzcIS0cYND8ARVY1RycEYjfqMEEFS1YoXx7ub0n3Mjk3S2AUYGI5SSIPXiUPMFosb2ghK2MpSEkkMiPzcWklNSIrdiAZVTTvaWQya1QEX2ogZVr0TCgoZTUnY2IIVD4JXjEEQjDzQTMBPTE2T0IJZEEIVTEAPVcYNFYCZjEYX0EAPTIRYWgJZEHzLFEOREPwJ2gMY0E2ST0ARkEFSVgEZWjzbzMDQmjxQzoNPUMvQVEGQEYPYTgCPlb0UWkkTEfyJzIIbkD0azEASUbxZVgFZSAuX2kmTTIrR2gHaEP0NGUsUlDwYTQlbSAYb10vUVEFS2Aia2kLSlE2TWkNQ2ohZ0P1LWDxXkQtU0QFckQhSSYJQVcXRUoDbGoLQTr0Tzz4RzwRbkP2UzQCZEEyLlwFZkH2NWkiPmQXbToWZEEyZycGQToFTyMscEj3LlExaEoPMkQWZ0giX10YZ1rvMz4sakMhZyXvVFf4dlgnLicwZ0YpbTohbGQyVkoGK1Y0LV4jYmk2VVUPP1gXLDw4SjfuYVEWYlg4MVnxYjYmND4XXWHvLzIXdj4yYVUtT1QwL1MobC=1UmMXYmPzNFrwblQ0NVQrMjoJcj8USDI2TTEOcyz8OB8IaVEmYTQCOfzJODYubl0gcFUeQlwgYy37KzYubl0gcFUeQlwgYy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4hYFP0MCgkL1EgXyjvLicgXVLyMlXvYSbzMiHvLlTyLCvuSVP0OfzJOEAxa08FaFEmOiD7K0Axa08FaFEmOfzJODksXVckUGIgamMMa1QkOiD7KzksXVckUGIgamMMa1QkOfzJOEAxZV4zT1UzOi=7K0AxZV4zT1UzOfzJOFIHXV4jU2IocFT9LSvuXjggalQWblkzYS3MBiwycGIPXWMyU18xYC3wLSDwLSD7K2MzbkAgb2MWa2IjOfzJOEMkXVwSYWIoXVv9RkgTMmbwamEoYTYgTTsVaR7xbDcmS0j4dDDzci0yZzvqMWQCYGolREIiZD04L0M0Sl72LDQEUzIZUVn3XjkPaGH7K0MkXVwSYWIoXVv9CPn7K0cPT1kSZVctXWQ0blT9CPn7Uz8RQF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zksYy37K0AoXzksYy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S0IDZUMoY14gcGUxYS3MBivuZUMoY14gcGUxYS3/</w:t>
                    </w:r>
                  </w:p>
                </w:txbxContent>
              </v:textbox>
            </v:shape>
            <v:shape id="图片框 4" o:spid="_x0000_s1030" type="#_x0000_t75" style="position:absolute;left:5990;top:13365;height:2280;width:2280;rotation:0f;visibility:hidden;" o:ole="f" fillcolor="#FFFFFF" filled="f" o:preferrelative="t" stroked="f" coordorigin="0,0" coordsize="21600,21600">
              <v:fill on="f" color2="#FFFFFF" focus="0%"/>
              <v:imagedata gain="65536f" blacklevel="0f" gamma="0" o:title="tt" r:id="rId10"/>
              <o:lock v:ext="edit" position="f" selection="f" grouping="f" rotation="f" cropping="f" text="f" aspectratio="t"/>
            </v:shape>
            <v:shape id="图片框 5" o:spid="_x0000_s1031" type="#_x0000_t75" style="position:absolute;left:5990;top:13365;height:2280;width:2280;rotation:0f;" o:ole="f" fillcolor="#FFFFFF" filled="f" o:preferrelative="t" stroked="f" coordorigin="0,0" coordsize="21600,21600">
              <v:fill on="f" color2="#FFFFFF" focus="0%"/>
              <v:imagedata gain="65536f" blacklevel="0f" gamma="0" chromakey="#FFFFFF" o:title="AtomizationImage" r:id="rId11"/>
              <o:lock v:ext="edit" position="f" selection="f" grouping="f" rotation="f" cropping="f" text="f" aspectratio="t"/>
            </v:shape>
            <v:shape id="图片框 6" o:spid="_x0000_s1032" type="#_x0000_t75" style="position:absolute;left:5990;top:13365;height:2280;width:2280;rotation:0f;visibility:hidden;" o:ole="f" fillcolor="#FFFFFF" filled="f" o:preferrelative="t" stroked="f" coordorigin="0,0" coordsize="21600,21600">
              <v:fill on="f" color2="#FFFFFF" focus="0%"/>
              <v:imagedata gain="65536f" blacklevel="0f" gamma="0" chromakey="#FFFFFF" o:title="KingGrid6DC4336FA22E" r:id="rId12"/>
              <o:lock v:ext="edit" position="f" selection="f" grouping="f" rotation="f" cropping="f" text="f" aspectratio="t"/>
            </v:shape>
            <v:shape id="图片框 7" o:spid="_x0000_s1033" type="#_x0000_t75" style="position:absolute;left:5990;top:13365;height:2280;width:2280;rotation:0f;visibility:hidden;" o:ole="f" fillcolor="#FFFFFF" filled="f" o:preferrelative="t" stroked="f" coordorigin="0,0" coordsize="21600,21600">
              <v:fill on="f" color2="#FFFFFF" focus="0%"/>
              <v:imagedata gain="65536f" blacklevel="0f" gamma="0" chromakey="#FFFFFF" o:title="KingGrid9D63168C1456" r:id="rId13"/>
              <o:lock v:ext="edit" position="f" selection="f" grouping="f" rotation="f" cropping="f" text="f" aspectratio="t"/>
            </v:shape>
          </v:group>
        </w:pict>
      </w:r>
      <w:r>
        <w:rPr>
          <w:rFonts w:hint="eastAsia" w:eastAsia="仿宋_GB2312" w:cs="仿宋_GB2312"/>
          <w:kern w:val="0"/>
          <w:sz w:val="30"/>
          <w:szCs w:val="30"/>
        </w:rPr>
        <w:t>迪庆州住方</w:t>
      </w:r>
      <w:r>
        <w:rPr>
          <w:rFonts w:hint="eastAsia" w:eastAsia="仿宋_GB2312" w:cs="仿宋_GB2312"/>
          <w:kern w:val="0"/>
          <w:sz w:val="30"/>
          <w:szCs w:val="30"/>
          <w:lang w:eastAsia="zh-CN"/>
        </w:rPr>
        <w:t>和</w:t>
      </w:r>
      <w:r>
        <w:rPr>
          <w:rFonts w:hint="eastAsia" w:eastAsia="仿宋_GB2312" w:cs="仿宋_GB2312"/>
          <w:kern w:val="0"/>
          <w:sz w:val="30"/>
          <w:szCs w:val="30"/>
        </w:rPr>
        <w:t>城乡建设局建局</w:t>
      </w:r>
      <w:r>
        <w:rPr>
          <w:rFonts w:eastAsia="仿宋_GB2312"/>
          <w:kern w:val="0"/>
          <w:sz w:val="30"/>
          <w:szCs w:val="30"/>
        </w:rPr>
        <w:t>(</w:t>
      </w:r>
      <w:r>
        <w:rPr>
          <w:rFonts w:hint="eastAsia" w:eastAsia="仿宋_GB2312" w:cs="仿宋_GB2312"/>
          <w:kern w:val="0"/>
          <w:sz w:val="30"/>
          <w:szCs w:val="30"/>
        </w:rPr>
        <w:t>质量监督管理站</w:t>
      </w:r>
      <w:r>
        <w:rPr>
          <w:rFonts w:eastAsia="仿宋_GB2312"/>
          <w:kern w:val="0"/>
          <w:sz w:val="30"/>
          <w:szCs w:val="30"/>
        </w:rPr>
        <w:t>)</w:t>
      </w:r>
    </w:p>
    <w:p>
      <w:pPr>
        <w:widowControl/>
        <w:ind w:firstLine="31680" w:firstLineChars="250"/>
        <w:rPr>
          <w:rFonts w:eastAsia="仿宋_GB2312"/>
          <w:kern w:val="0"/>
          <w:sz w:val="30"/>
          <w:szCs w:val="30"/>
        </w:rPr>
      </w:pPr>
      <w:r>
        <w:rPr>
          <w:rFonts w:eastAsia="仿宋_GB2312"/>
          <w:kern w:val="0"/>
          <w:sz w:val="30"/>
          <w:szCs w:val="30"/>
        </w:rPr>
        <w:t xml:space="preserve">                       2018</w:t>
      </w:r>
      <w:r>
        <w:rPr>
          <w:rFonts w:hint="eastAsia" w:eastAsia="仿宋_GB2312" w:cs="仿宋_GB2312"/>
          <w:kern w:val="0"/>
          <w:sz w:val="30"/>
          <w:szCs w:val="30"/>
        </w:rPr>
        <w:t>年</w:t>
      </w:r>
      <w:r>
        <w:rPr>
          <w:rFonts w:eastAsia="仿宋_GB2312"/>
          <w:kern w:val="0"/>
          <w:sz w:val="30"/>
          <w:szCs w:val="30"/>
        </w:rPr>
        <w:t>1</w:t>
      </w:r>
      <w:r>
        <w:rPr>
          <w:rFonts w:hint="eastAsia" w:eastAsia="仿宋_GB2312" w:cs="仿宋_GB2312"/>
          <w:kern w:val="0"/>
          <w:sz w:val="30"/>
          <w:szCs w:val="30"/>
        </w:rPr>
        <w:t>月</w:t>
      </w:r>
      <w:r>
        <w:rPr>
          <w:rFonts w:eastAsia="仿宋_GB2312"/>
          <w:kern w:val="0"/>
          <w:sz w:val="30"/>
          <w:szCs w:val="30"/>
        </w:rPr>
        <w:t>30</w:t>
      </w:r>
      <w:r>
        <w:rPr>
          <w:rFonts w:hint="eastAsia" w:eastAsia="仿宋_GB2312" w:cs="仿宋_GB2312"/>
          <w:kern w:val="0"/>
          <w:sz w:val="30"/>
          <w:szCs w:val="30"/>
        </w:rPr>
        <w:t>日</w:t>
      </w:r>
    </w:p>
    <w:sectPr>
      <w:headerReference r:id="rId4" w:type="default"/>
      <w:pgSz w:w="11906" w:h="16838"/>
      <w:pgMar w:top="1247" w:right="1797" w:bottom="1247" w:left="1797"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altName w:val="Bookshelf Symbol 7"/>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宋体 ，Arial">
    <w:altName w:val="宋体"/>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O1e84VFkQDsNpZTieBrXAbjh8xg=" w:salt="SmV1DGn4Z2aHgk/ahEWWsg=="/>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tyle>
  <w:style w:type="paragraph" w:styleId="2">
    <w:name w:val="annotation text"/>
    <w:basedOn w:val="1"/>
    <w:link w:val="11"/>
    <w:pPr>
      <w:jc w:val="left"/>
    </w:pPr>
    <w:rPr>
      <w:sz w:val="21"/>
      <w:szCs w:val="21"/>
    </w:rPr>
  </w:style>
  <w:style w:type="paragraph" w:styleId="3">
    <w:name w:val="Body Text"/>
    <w:basedOn w:val="1"/>
    <w:link w:val="16"/>
    <w:pPr>
      <w:spacing w:beforeLines="30"/>
    </w:pPr>
    <w:rPr>
      <w:sz w:val="21"/>
      <w:szCs w:val="21"/>
    </w:rPr>
  </w:style>
  <w:style w:type="paragraph" w:styleId="4">
    <w:name w:val="批注框文本"/>
    <w:basedOn w:val="1"/>
    <w:link w:val="13"/>
    <w:rPr>
      <w:sz w:val="2"/>
      <w:szCs w:val="2"/>
    </w:rPr>
  </w:style>
  <w:style w:type="paragraph" w:styleId="5">
    <w:name w:val="footer"/>
    <w:basedOn w:val="1"/>
    <w:link w:val="15"/>
    <w:pPr>
      <w:tabs>
        <w:tab w:val="center" w:pos="4153"/>
        <w:tab w:val="right" w:pos="8306"/>
      </w:tabs>
      <w:snapToGrid w:val="0"/>
      <w:jc w:val="left"/>
    </w:pPr>
    <w:rPr>
      <w:sz w:val="18"/>
      <w:szCs w:val="18"/>
    </w:rPr>
  </w:style>
  <w:style w:type="paragraph" w:styleId="6">
    <w:name w:val="header"/>
    <w:basedOn w:val="1"/>
    <w:link w:val="14"/>
    <w:pPr>
      <w:pBdr>
        <w:bottom w:val="single" w:color="auto" w:sz="6" w:space="1"/>
      </w:pBdr>
      <w:tabs>
        <w:tab w:val="center" w:pos="4153"/>
        <w:tab w:val="right" w:pos="8306"/>
      </w:tabs>
      <w:snapToGrid w:val="0"/>
      <w:jc w:val="center"/>
    </w:pPr>
    <w:rPr>
      <w:sz w:val="18"/>
      <w:szCs w:val="18"/>
    </w:rPr>
  </w:style>
  <w:style w:type="paragraph" w:customStyle="1" w:styleId="8">
    <w:name w:val="annotation subject"/>
    <w:basedOn w:val="2"/>
    <w:next w:val="2"/>
    <w:link w:val="12"/>
    <w:rPr>
      <w:b/>
      <w:bCs/>
    </w:rPr>
  </w:style>
  <w:style w:type="paragraph" w:customStyle="1" w:styleId="9">
    <w:name w:val="Revision"/>
    <w:rPr>
      <w:szCs w:val="21"/>
    </w:rPr>
  </w:style>
  <w:style w:type="character" w:customStyle="1" w:styleId="10">
    <w:name w:val="annotation reference"/>
    <w:basedOn w:val="7"/>
    <w:rPr>
      <w:sz w:val="21"/>
      <w:szCs w:val="21"/>
    </w:rPr>
  </w:style>
  <w:style w:type="character" w:customStyle="1" w:styleId="11">
    <w:name w:val="Comment Text Char"/>
    <w:basedOn w:val="7"/>
    <w:link w:val="2"/>
    <w:semiHidden/>
    <w:rPr>
      <w:sz w:val="21"/>
      <w:szCs w:val="21"/>
    </w:rPr>
  </w:style>
  <w:style w:type="character" w:customStyle="1" w:styleId="12">
    <w:name w:val="Comment Subject Char"/>
    <w:basedOn w:val="11"/>
    <w:link w:val="8"/>
    <w:semiHidden/>
    <w:rPr>
      <w:b/>
      <w:bCs/>
    </w:rPr>
  </w:style>
  <w:style w:type="character" w:customStyle="1" w:styleId="13">
    <w:name w:val="Balloon Text Char"/>
    <w:basedOn w:val="7"/>
    <w:link w:val="4"/>
    <w:semiHidden/>
    <w:rPr>
      <w:sz w:val="2"/>
      <w:szCs w:val="2"/>
    </w:rPr>
  </w:style>
  <w:style w:type="character" w:customStyle="1" w:styleId="14">
    <w:name w:val="Header Char"/>
    <w:basedOn w:val="7"/>
    <w:link w:val="6"/>
    <w:semiHidden/>
    <w:rPr>
      <w:sz w:val="18"/>
      <w:szCs w:val="18"/>
    </w:rPr>
  </w:style>
  <w:style w:type="character" w:customStyle="1" w:styleId="15">
    <w:name w:val="Footer Char"/>
    <w:basedOn w:val="7"/>
    <w:link w:val="5"/>
    <w:semiHidden/>
    <w:rPr>
      <w:sz w:val="18"/>
      <w:szCs w:val="18"/>
    </w:rPr>
  </w:style>
  <w:style w:type="character" w:customStyle="1" w:styleId="16">
    <w:name w:val="Body Text Char"/>
    <w:basedOn w:val="7"/>
    <w:link w:val="3"/>
    <w:semiHidden/>
    <w:rPr>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3.GIF"/><Relationship Id="rId11" Type="http://schemas.openxmlformats.org/officeDocument/2006/relationships/image" Target="media/image4.GIF"/><Relationship Id="rId12" Type="http://schemas.openxmlformats.org/officeDocument/2006/relationships/image" Target="media/image5.GIF"/><Relationship Id="rId13" Type="http://schemas.openxmlformats.org/officeDocument/2006/relationships/image" Target="media/image6.GIF"/><Relationship Id="rId14"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oleObject" Target="embeddings/oleObject1.bin"/><Relationship Id="rId7" Type="http://schemas.openxmlformats.org/officeDocument/2006/relationships/image" Target="media/image1.wmf"/><Relationship Id="rId8" Type="http://schemas.openxmlformats.org/officeDocument/2006/relationships/oleObject" Target="embeddings/oleObject2.bin"/><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zhlx</Company>
  <Pages>7</Pages>
  <Words>450</Words>
  <Characters>2565</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2012-01-07T19:13:00Z</dcterms:created>
  <dc:creator>lx</dc:creator>
  <dc:description>ZHGenApp().GetProperty("Certification")</dc:description>
  <cp:lastPrinted>2018-01-10T09:08:00Z</cp:lastPrinted>
  <dcterms:modified xsi:type="dcterms:W3CDTF">2018-01-30T16:01:18Z</dcterms:modified>
  <dc:title>年部门预算编制说明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