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after="100" w:afterAutospacing="1" w:line="590" w:lineRule="atLeast"/>
        <w:jc w:val="center"/>
        <w:rPr>
          <w:rFonts w:ascii="方正小标宋简体" w:hAnsi="方正小标宋简体" w:eastAsia="宋体" w:cs="宋体"/>
          <w:b w:val="0"/>
          <w:bCs w:val="0"/>
          <w:kern w:val="0"/>
          <w:sz w:val="36"/>
          <w:szCs w:val="36"/>
          <w:shd w:val="clear" w:color="auto" w:fill="FFFFFF"/>
        </w:rPr>
      </w:pPr>
      <w:r>
        <w:rPr>
          <w:rFonts w:ascii="方正小标宋简体" w:hAnsi="方正小标宋简体" w:eastAsia="宋体" w:cs="宋体"/>
          <w:b w:val="0"/>
          <w:bCs w:val="0"/>
          <w:kern w:val="0"/>
          <w:sz w:val="36"/>
          <w:szCs w:val="36"/>
          <w:shd w:val="clear" w:color="auto" w:fill="FFFFFF"/>
        </w:rPr>
        <w:t>迪庆藏族自治州农业科学研究院2020年度</w:t>
      </w:r>
    </w:p>
    <w:p>
      <w:pPr>
        <w:widowControl/>
        <w:snapToGrid w:val="0"/>
        <w:spacing w:after="100" w:afterAutospacing="1" w:line="590" w:lineRule="atLeast"/>
        <w:jc w:val="center"/>
        <w:rPr>
          <w:rFonts w:ascii="方正小标宋简体" w:hAnsi="方正小标宋简体" w:eastAsia="宋体" w:cs="宋体"/>
          <w:b w:val="0"/>
          <w:bCs w:val="0"/>
          <w:kern w:val="0"/>
          <w:sz w:val="36"/>
          <w:szCs w:val="36"/>
          <w:shd w:val="clear" w:color="auto" w:fill="FFFFFF"/>
        </w:rPr>
      </w:pPr>
      <w:r>
        <w:rPr>
          <w:rFonts w:ascii="方正小标宋简体" w:hAnsi="方正小标宋简体" w:eastAsia="宋体" w:cs="宋体"/>
          <w:b w:val="0"/>
          <w:bCs w:val="0"/>
          <w:kern w:val="0"/>
          <w:sz w:val="36"/>
          <w:szCs w:val="36"/>
          <w:shd w:val="clear" w:color="auto" w:fill="FFFFFF"/>
        </w:rPr>
        <w:t>部门决算</w:t>
      </w:r>
    </w:p>
    <w:p>
      <w:pPr>
        <w:widowControl/>
        <w:snapToGrid w:val="0"/>
        <w:spacing w:after="100" w:afterAutospacing="1" w:line="590" w:lineRule="atLeast"/>
        <w:jc w:val="center"/>
        <w:rPr>
          <w:rFonts w:hint="eastAsia" w:ascii="宋体" w:hAnsi="宋体" w:eastAsia="宋体" w:cs="宋体"/>
          <w:b w:val="0"/>
          <w:bCs w:val="0"/>
          <w:kern w:val="0"/>
          <w:sz w:val="24"/>
          <w:szCs w:val="24"/>
        </w:rPr>
      </w:pPr>
      <w:r>
        <w:rPr>
          <w:rFonts w:hint="eastAsia" w:ascii="黑体" w:hAnsi="黑体" w:eastAsia="黑体" w:cs="宋体"/>
          <w:b w:val="0"/>
          <w:bCs w:val="0"/>
          <w:kern w:val="0"/>
          <w:sz w:val="36"/>
          <w:szCs w:val="36"/>
          <w:shd w:val="clear" w:color="auto" w:fill="FFFFFF"/>
        </w:rPr>
        <w:t>目</w:t>
      </w:r>
      <w:r>
        <w:rPr>
          <w:rFonts w:hint="eastAsia" w:ascii="黑体" w:hAnsi="黑体" w:eastAsia="黑体" w:cs="宋体"/>
          <w:b w:val="0"/>
          <w:bCs w:val="0"/>
          <w:kern w:val="0"/>
          <w:sz w:val="36"/>
          <w:szCs w:val="36"/>
          <w:shd w:val="clear" w:color="auto" w:fill="FFFFFF"/>
          <w:lang w:val="en-US" w:eastAsia="zh-CN"/>
        </w:rPr>
        <w:t xml:space="preserve">   </w:t>
      </w:r>
      <w:r>
        <w:rPr>
          <w:rFonts w:hint="eastAsia" w:ascii="黑体" w:hAnsi="黑体" w:eastAsia="黑体" w:cs="宋体"/>
          <w:b w:val="0"/>
          <w:bCs w:val="0"/>
          <w:kern w:val="0"/>
          <w:sz w:val="36"/>
          <w:szCs w:val="36"/>
          <w:shd w:val="clear" w:color="auto" w:fill="FFFFFF"/>
        </w:rPr>
        <w:t>录</w:t>
      </w:r>
    </w:p>
    <w:p>
      <w:pPr>
        <w:widowControl/>
        <w:snapToGrid w:val="0"/>
        <w:spacing w:after="100" w:afterAutospacing="1" w:line="590" w:lineRule="atLeast"/>
        <w:jc w:val="left"/>
        <w:rPr>
          <w:rFonts w:hint="eastAsia" w:ascii="宋体" w:hAnsi="宋体" w:eastAsia="宋体" w:cs="宋体"/>
          <w:b w:val="0"/>
          <w:bCs w:val="0"/>
          <w:kern w:val="0"/>
          <w:sz w:val="24"/>
          <w:szCs w:val="24"/>
        </w:rPr>
      </w:pPr>
      <w:r>
        <w:rPr>
          <w:rFonts w:hint="eastAsia" w:ascii="黑体" w:hAnsi="黑体" w:eastAsia="黑体" w:cs="宋体"/>
          <w:b w:val="0"/>
          <w:bCs w:val="0"/>
          <w:kern w:val="0"/>
          <w:sz w:val="30"/>
          <w:szCs w:val="30"/>
          <w:shd w:val="clear" w:color="auto" w:fill="FFFFFF"/>
        </w:rPr>
        <w:t>第一部分</w:t>
      </w:r>
      <w:r>
        <w:rPr>
          <w:rFonts w:hint="eastAsia" w:ascii="黑体" w:hAnsi="宋体" w:eastAsia="黑体" w:cs="宋体"/>
          <w:b w:val="0"/>
          <w:bCs w:val="0"/>
          <w:kern w:val="0"/>
          <w:sz w:val="30"/>
          <w:szCs w:val="30"/>
          <w:shd w:val="clear" w:color="auto" w:fill="FFFFFF"/>
        </w:rPr>
        <w:t xml:space="preserve"> 迪庆藏族自治州农业科学</w:t>
      </w:r>
      <w:r>
        <w:rPr>
          <w:rFonts w:hint="eastAsia" w:ascii="黑体" w:hAnsi="宋体" w:eastAsia="黑体" w:cs="宋体"/>
          <w:b w:val="0"/>
          <w:bCs w:val="0"/>
          <w:kern w:val="0"/>
          <w:sz w:val="30"/>
          <w:szCs w:val="30"/>
          <w:shd w:val="clear" w:color="auto" w:fill="FFFFFF"/>
          <w:lang w:eastAsia="zh-CN"/>
        </w:rPr>
        <w:t>研究</w:t>
      </w:r>
      <w:r>
        <w:rPr>
          <w:rFonts w:hint="eastAsia" w:ascii="黑体" w:hAnsi="宋体" w:eastAsia="黑体" w:cs="宋体"/>
          <w:b w:val="0"/>
          <w:bCs w:val="0"/>
          <w:kern w:val="0"/>
          <w:sz w:val="30"/>
          <w:szCs w:val="30"/>
          <w:shd w:val="clear" w:color="auto" w:fill="FFFFFF"/>
        </w:rPr>
        <w:t>院概况</w:t>
      </w:r>
    </w:p>
    <w:p>
      <w:pPr>
        <w:widowControl/>
        <w:snapToGrid w:val="0"/>
        <w:spacing w:after="100" w:afterAutospacing="1" w:line="590" w:lineRule="atLeast"/>
        <w:jc w:val="left"/>
        <w:rPr>
          <w:rFonts w:hint="eastAsia" w:ascii="宋体" w:hAnsi="宋体" w:eastAsia="宋体" w:cs="宋体"/>
          <w:b w:val="0"/>
          <w:bCs w:val="0"/>
          <w:kern w:val="0"/>
          <w:sz w:val="24"/>
          <w:szCs w:val="24"/>
        </w:rPr>
      </w:pPr>
      <w:r>
        <w:rPr>
          <w:rFonts w:hint="eastAsia" w:ascii="楷体" w:hAnsi="楷体" w:eastAsia="楷体" w:cs="宋体"/>
          <w:b w:val="0"/>
          <w:bCs w:val="0"/>
          <w:kern w:val="0"/>
          <w:sz w:val="30"/>
          <w:szCs w:val="30"/>
          <w:shd w:val="clear" w:color="auto" w:fill="FFFFFF"/>
        </w:rPr>
        <w:t>一、主要职能</w:t>
      </w:r>
    </w:p>
    <w:p>
      <w:pPr>
        <w:widowControl/>
        <w:snapToGrid w:val="0"/>
        <w:spacing w:after="100" w:afterAutospacing="1" w:line="590" w:lineRule="atLeast"/>
        <w:jc w:val="left"/>
        <w:rPr>
          <w:rFonts w:hint="eastAsia" w:ascii="宋体" w:hAnsi="宋体" w:eastAsia="宋体" w:cs="宋体"/>
          <w:b w:val="0"/>
          <w:bCs w:val="0"/>
          <w:kern w:val="0"/>
          <w:sz w:val="24"/>
          <w:szCs w:val="24"/>
        </w:rPr>
      </w:pPr>
      <w:r>
        <w:rPr>
          <w:rFonts w:hint="eastAsia" w:ascii="楷体" w:hAnsi="楷体" w:eastAsia="楷体" w:cs="宋体"/>
          <w:b w:val="0"/>
          <w:bCs w:val="0"/>
          <w:kern w:val="0"/>
          <w:sz w:val="30"/>
          <w:szCs w:val="30"/>
          <w:shd w:val="clear" w:color="auto" w:fill="FFFFFF"/>
        </w:rPr>
        <w:t>二、部门基本情况</w:t>
      </w:r>
    </w:p>
    <w:p>
      <w:pPr>
        <w:widowControl/>
        <w:snapToGrid w:val="0"/>
        <w:spacing w:after="100" w:afterAutospacing="1" w:line="590" w:lineRule="atLeast"/>
        <w:jc w:val="left"/>
        <w:rPr>
          <w:rFonts w:hint="eastAsia" w:ascii="宋体" w:hAnsi="宋体" w:eastAsia="宋体" w:cs="宋体"/>
          <w:b w:val="0"/>
          <w:bCs w:val="0"/>
          <w:kern w:val="0"/>
          <w:sz w:val="24"/>
          <w:szCs w:val="24"/>
        </w:rPr>
      </w:pPr>
      <w:r>
        <w:rPr>
          <w:rFonts w:hint="eastAsia" w:ascii="黑体" w:hAnsi="黑体" w:eastAsia="黑体" w:cs="宋体"/>
          <w:b w:val="0"/>
          <w:bCs w:val="0"/>
          <w:kern w:val="0"/>
          <w:sz w:val="30"/>
          <w:szCs w:val="30"/>
          <w:shd w:val="clear" w:color="auto" w:fill="FFFFFF"/>
        </w:rPr>
        <w:t>第二部分</w:t>
      </w:r>
      <w:r>
        <w:rPr>
          <w:rFonts w:hint="eastAsia" w:ascii="黑体" w:hAnsi="宋体" w:eastAsia="黑体" w:cs="宋体"/>
          <w:b w:val="0"/>
          <w:bCs w:val="0"/>
          <w:kern w:val="0"/>
          <w:sz w:val="30"/>
          <w:szCs w:val="30"/>
          <w:shd w:val="clear" w:color="auto" w:fill="FFFFFF"/>
        </w:rPr>
        <w:t xml:space="preserve"> 2020年度部门决算表</w:t>
      </w:r>
    </w:p>
    <w:p>
      <w:pPr>
        <w:widowControl/>
        <w:snapToGrid w:val="0"/>
        <w:spacing w:after="100" w:afterAutospacing="1" w:line="590" w:lineRule="atLeast"/>
        <w:jc w:val="left"/>
        <w:rPr>
          <w:rFonts w:hint="eastAsia" w:ascii="宋体" w:hAnsi="宋体" w:eastAsia="宋体" w:cs="宋体"/>
          <w:b w:val="0"/>
          <w:bCs w:val="0"/>
          <w:kern w:val="0"/>
          <w:sz w:val="24"/>
          <w:szCs w:val="24"/>
        </w:rPr>
      </w:pPr>
      <w:r>
        <w:rPr>
          <w:rFonts w:hint="eastAsia" w:ascii="楷体" w:hAnsi="楷体" w:eastAsia="楷体" w:cs="宋体"/>
          <w:b w:val="0"/>
          <w:bCs w:val="0"/>
          <w:kern w:val="0"/>
          <w:sz w:val="30"/>
          <w:szCs w:val="30"/>
          <w:shd w:val="clear" w:color="auto" w:fill="FFFFFF"/>
        </w:rPr>
        <w:t>一、收入支出决算总表</w:t>
      </w:r>
    </w:p>
    <w:p>
      <w:pPr>
        <w:widowControl/>
        <w:snapToGrid w:val="0"/>
        <w:spacing w:after="100" w:afterAutospacing="1" w:line="590" w:lineRule="atLeast"/>
        <w:jc w:val="left"/>
        <w:rPr>
          <w:rFonts w:hint="eastAsia" w:ascii="宋体" w:hAnsi="宋体" w:eastAsia="宋体" w:cs="宋体"/>
          <w:b w:val="0"/>
          <w:bCs w:val="0"/>
          <w:kern w:val="0"/>
          <w:sz w:val="24"/>
          <w:szCs w:val="24"/>
        </w:rPr>
      </w:pPr>
      <w:r>
        <w:rPr>
          <w:rFonts w:hint="eastAsia" w:ascii="楷体" w:hAnsi="楷体" w:eastAsia="楷体" w:cs="宋体"/>
          <w:b w:val="0"/>
          <w:bCs w:val="0"/>
          <w:kern w:val="0"/>
          <w:sz w:val="30"/>
          <w:szCs w:val="30"/>
          <w:shd w:val="clear" w:color="auto" w:fill="FFFFFF"/>
        </w:rPr>
        <w:t>二、收入决算表</w:t>
      </w:r>
    </w:p>
    <w:p>
      <w:pPr>
        <w:widowControl/>
        <w:snapToGrid w:val="0"/>
        <w:spacing w:after="100" w:afterAutospacing="1" w:line="590" w:lineRule="atLeast"/>
        <w:jc w:val="left"/>
        <w:rPr>
          <w:rFonts w:hint="eastAsia" w:ascii="宋体" w:hAnsi="宋体" w:eastAsia="宋体" w:cs="宋体"/>
          <w:b w:val="0"/>
          <w:bCs w:val="0"/>
          <w:kern w:val="0"/>
          <w:sz w:val="24"/>
          <w:szCs w:val="24"/>
        </w:rPr>
      </w:pPr>
      <w:r>
        <w:rPr>
          <w:rFonts w:hint="eastAsia" w:ascii="楷体" w:hAnsi="楷体" w:eastAsia="楷体" w:cs="宋体"/>
          <w:b w:val="0"/>
          <w:bCs w:val="0"/>
          <w:kern w:val="0"/>
          <w:sz w:val="30"/>
          <w:szCs w:val="30"/>
          <w:shd w:val="clear" w:color="auto" w:fill="FFFFFF"/>
        </w:rPr>
        <w:t>三、支出决算表</w:t>
      </w:r>
    </w:p>
    <w:p>
      <w:pPr>
        <w:widowControl/>
        <w:snapToGrid w:val="0"/>
        <w:spacing w:after="100" w:afterAutospacing="1" w:line="590" w:lineRule="atLeast"/>
        <w:jc w:val="left"/>
        <w:rPr>
          <w:rFonts w:hint="eastAsia" w:ascii="宋体" w:hAnsi="宋体" w:eastAsia="宋体" w:cs="宋体"/>
          <w:b w:val="0"/>
          <w:bCs w:val="0"/>
          <w:kern w:val="0"/>
          <w:sz w:val="24"/>
          <w:szCs w:val="24"/>
        </w:rPr>
      </w:pPr>
      <w:r>
        <w:rPr>
          <w:rFonts w:hint="eastAsia" w:ascii="楷体" w:hAnsi="楷体" w:eastAsia="楷体" w:cs="宋体"/>
          <w:b w:val="0"/>
          <w:bCs w:val="0"/>
          <w:kern w:val="0"/>
          <w:sz w:val="30"/>
          <w:szCs w:val="30"/>
          <w:shd w:val="clear" w:color="auto" w:fill="FFFFFF"/>
        </w:rPr>
        <w:t>四、财政拨款收入支出决算总表</w:t>
      </w:r>
    </w:p>
    <w:p>
      <w:pPr>
        <w:widowControl/>
        <w:snapToGrid w:val="0"/>
        <w:spacing w:after="100" w:afterAutospacing="1" w:line="590" w:lineRule="atLeast"/>
        <w:jc w:val="left"/>
        <w:rPr>
          <w:rFonts w:hint="eastAsia" w:ascii="宋体" w:hAnsi="宋体" w:eastAsia="宋体" w:cs="宋体"/>
          <w:b w:val="0"/>
          <w:bCs w:val="0"/>
          <w:kern w:val="0"/>
          <w:sz w:val="24"/>
          <w:szCs w:val="24"/>
        </w:rPr>
      </w:pPr>
      <w:r>
        <w:rPr>
          <w:rFonts w:hint="eastAsia" w:ascii="楷体" w:hAnsi="楷体" w:eastAsia="楷体" w:cs="宋体"/>
          <w:b w:val="0"/>
          <w:bCs w:val="0"/>
          <w:kern w:val="0"/>
          <w:sz w:val="30"/>
          <w:szCs w:val="30"/>
          <w:shd w:val="clear" w:color="auto" w:fill="FFFFFF"/>
        </w:rPr>
        <w:t>五、一般公共预算财政拨款收入支出决算表</w:t>
      </w:r>
    </w:p>
    <w:p>
      <w:pPr>
        <w:widowControl/>
        <w:snapToGrid w:val="0"/>
        <w:spacing w:after="100" w:afterAutospacing="1" w:line="590" w:lineRule="atLeast"/>
        <w:jc w:val="left"/>
        <w:rPr>
          <w:rFonts w:hint="eastAsia" w:ascii="宋体" w:hAnsi="宋体" w:eastAsia="宋体" w:cs="宋体"/>
          <w:b w:val="0"/>
          <w:bCs w:val="0"/>
          <w:kern w:val="0"/>
          <w:sz w:val="24"/>
          <w:szCs w:val="24"/>
        </w:rPr>
      </w:pPr>
      <w:r>
        <w:rPr>
          <w:rFonts w:hint="eastAsia" w:ascii="楷体" w:hAnsi="楷体" w:eastAsia="楷体" w:cs="宋体"/>
          <w:b w:val="0"/>
          <w:bCs w:val="0"/>
          <w:kern w:val="0"/>
          <w:sz w:val="30"/>
          <w:szCs w:val="30"/>
          <w:shd w:val="clear" w:color="auto" w:fill="FFFFFF"/>
        </w:rPr>
        <w:t>六、一般公共预算财政拨款基本支出决算表</w:t>
      </w:r>
    </w:p>
    <w:p>
      <w:pPr>
        <w:widowControl/>
        <w:snapToGrid w:val="0"/>
        <w:spacing w:after="100" w:afterAutospacing="1" w:line="590" w:lineRule="atLeast"/>
        <w:jc w:val="left"/>
        <w:rPr>
          <w:rFonts w:hint="eastAsia" w:ascii="宋体" w:hAnsi="宋体" w:eastAsia="宋体" w:cs="宋体"/>
          <w:b w:val="0"/>
          <w:bCs w:val="0"/>
          <w:kern w:val="0"/>
          <w:sz w:val="24"/>
          <w:szCs w:val="24"/>
        </w:rPr>
      </w:pPr>
      <w:r>
        <w:rPr>
          <w:rFonts w:hint="eastAsia" w:ascii="楷体" w:hAnsi="楷体" w:eastAsia="楷体" w:cs="宋体"/>
          <w:b w:val="0"/>
          <w:bCs w:val="0"/>
          <w:kern w:val="0"/>
          <w:sz w:val="30"/>
          <w:szCs w:val="30"/>
          <w:shd w:val="clear" w:color="auto" w:fill="FFFFFF"/>
        </w:rPr>
        <w:t>七、政府性基金预算财政拨款收入支出决算表</w:t>
      </w:r>
    </w:p>
    <w:p>
      <w:pPr>
        <w:widowControl/>
        <w:snapToGrid w:val="0"/>
        <w:spacing w:after="100" w:afterAutospacing="1" w:line="590" w:lineRule="atLeast"/>
        <w:jc w:val="left"/>
        <w:rPr>
          <w:rFonts w:hint="eastAsia" w:ascii="宋体" w:hAnsi="宋体" w:eastAsia="宋体" w:cs="宋体"/>
          <w:b w:val="0"/>
          <w:bCs w:val="0"/>
          <w:kern w:val="0"/>
          <w:sz w:val="24"/>
          <w:szCs w:val="24"/>
        </w:rPr>
      </w:pPr>
      <w:r>
        <w:rPr>
          <w:rFonts w:hint="eastAsia" w:ascii="楷体" w:hAnsi="楷体" w:eastAsia="楷体" w:cs="宋体"/>
          <w:b w:val="0"/>
          <w:bCs w:val="0"/>
          <w:kern w:val="0"/>
          <w:sz w:val="30"/>
          <w:szCs w:val="30"/>
          <w:shd w:val="clear" w:color="auto" w:fill="FFFFFF"/>
        </w:rPr>
        <w:t>八、国有资本经营预算财政拨款收入支出决算表</w:t>
      </w:r>
    </w:p>
    <w:p>
      <w:pPr>
        <w:widowControl/>
        <w:snapToGrid w:val="0"/>
        <w:spacing w:after="100" w:afterAutospacing="1" w:line="590" w:lineRule="atLeast"/>
        <w:jc w:val="left"/>
        <w:rPr>
          <w:rFonts w:hint="eastAsia" w:ascii="宋体" w:hAnsi="宋体" w:eastAsia="宋体" w:cs="宋体"/>
          <w:b w:val="0"/>
          <w:bCs w:val="0"/>
          <w:kern w:val="0"/>
          <w:sz w:val="24"/>
          <w:szCs w:val="24"/>
        </w:rPr>
      </w:pPr>
      <w:r>
        <w:rPr>
          <w:rFonts w:hint="eastAsia" w:ascii="楷体" w:hAnsi="楷体" w:eastAsia="楷体" w:cs="宋体"/>
          <w:b w:val="0"/>
          <w:bCs w:val="0"/>
          <w:kern w:val="0"/>
          <w:sz w:val="30"/>
          <w:szCs w:val="30"/>
          <w:shd w:val="clear" w:color="auto" w:fill="FFFFFF"/>
        </w:rPr>
        <w:t>九、</w:t>
      </w:r>
      <w:r>
        <w:rPr>
          <w:rFonts w:hint="eastAsia" w:ascii="宋体" w:hAnsi="宋体" w:eastAsia="宋体" w:cs="宋体"/>
          <w:b w:val="0"/>
          <w:bCs w:val="0"/>
          <w:kern w:val="0"/>
          <w:sz w:val="24"/>
          <w:szCs w:val="24"/>
          <w:shd w:val="clear" w:color="auto" w:fill="FFFFFF"/>
        </w:rPr>
        <w:t>“</w:t>
      </w:r>
      <w:r>
        <w:rPr>
          <w:rFonts w:hint="eastAsia" w:ascii="楷体" w:hAnsi="楷体" w:eastAsia="楷体" w:cs="宋体"/>
          <w:b w:val="0"/>
          <w:bCs w:val="0"/>
          <w:kern w:val="0"/>
          <w:sz w:val="30"/>
          <w:szCs w:val="30"/>
          <w:shd w:val="clear" w:color="auto" w:fill="FFFFFF"/>
        </w:rPr>
        <w:t>三公</w:t>
      </w:r>
      <w:r>
        <w:rPr>
          <w:rFonts w:hint="eastAsia" w:ascii="宋体" w:hAnsi="宋体" w:eastAsia="宋体" w:cs="宋体"/>
          <w:b w:val="0"/>
          <w:bCs w:val="0"/>
          <w:kern w:val="0"/>
          <w:sz w:val="24"/>
          <w:szCs w:val="24"/>
          <w:shd w:val="clear" w:color="auto" w:fill="FFFFFF"/>
        </w:rPr>
        <w:t>”</w:t>
      </w:r>
      <w:r>
        <w:rPr>
          <w:rFonts w:hint="eastAsia" w:ascii="楷体" w:hAnsi="楷体" w:eastAsia="楷体" w:cs="宋体"/>
          <w:b w:val="0"/>
          <w:bCs w:val="0"/>
          <w:kern w:val="0"/>
          <w:sz w:val="30"/>
          <w:szCs w:val="30"/>
          <w:shd w:val="clear" w:color="auto" w:fill="FFFFFF"/>
        </w:rPr>
        <w:t>经费、行政参公单位机关运行经费情况表</w:t>
      </w:r>
    </w:p>
    <w:p>
      <w:pPr>
        <w:widowControl/>
        <w:snapToGrid w:val="0"/>
        <w:spacing w:after="100" w:afterAutospacing="1" w:line="590" w:lineRule="atLeast"/>
        <w:jc w:val="left"/>
        <w:rPr>
          <w:rFonts w:hint="eastAsia" w:ascii="宋体" w:hAnsi="宋体" w:eastAsia="宋体" w:cs="宋体"/>
          <w:b w:val="0"/>
          <w:bCs w:val="0"/>
          <w:kern w:val="0"/>
          <w:sz w:val="24"/>
          <w:szCs w:val="24"/>
        </w:rPr>
      </w:pPr>
      <w:r>
        <w:rPr>
          <w:rFonts w:hint="eastAsia" w:ascii="黑体" w:hAnsi="黑体" w:eastAsia="黑体" w:cs="宋体"/>
          <w:b w:val="0"/>
          <w:bCs w:val="0"/>
          <w:kern w:val="0"/>
          <w:sz w:val="30"/>
          <w:szCs w:val="30"/>
          <w:shd w:val="clear" w:color="auto" w:fill="FFFFFF"/>
        </w:rPr>
        <w:t>第三部分</w:t>
      </w:r>
      <w:r>
        <w:rPr>
          <w:rFonts w:hint="eastAsia" w:ascii="黑体" w:hAnsi="宋体" w:eastAsia="黑体" w:cs="宋体"/>
          <w:b w:val="0"/>
          <w:bCs w:val="0"/>
          <w:kern w:val="0"/>
          <w:sz w:val="30"/>
          <w:szCs w:val="30"/>
          <w:shd w:val="clear" w:color="auto" w:fill="FFFFFF"/>
        </w:rPr>
        <w:t xml:space="preserve"> </w:t>
      </w:r>
      <w:r>
        <w:rPr>
          <w:rFonts w:hint="eastAsia" w:ascii="黑体" w:hAnsi="宋体" w:eastAsia="黑体" w:cs="宋体"/>
          <w:b w:val="0"/>
          <w:bCs w:val="0"/>
          <w:kern w:val="0"/>
          <w:sz w:val="30"/>
          <w:szCs w:val="30"/>
          <w:shd w:val="clear" w:color="auto" w:fill="FFFFFF"/>
          <w:lang w:val="en-US" w:eastAsia="zh-CN"/>
        </w:rPr>
        <w:t xml:space="preserve"> </w:t>
      </w:r>
      <w:r>
        <w:rPr>
          <w:rFonts w:hint="eastAsia" w:ascii="黑体" w:hAnsi="宋体" w:eastAsia="黑体" w:cs="宋体"/>
          <w:b w:val="0"/>
          <w:bCs w:val="0"/>
          <w:kern w:val="0"/>
          <w:sz w:val="30"/>
          <w:szCs w:val="30"/>
          <w:shd w:val="clear" w:color="auto" w:fill="FFFFFF"/>
        </w:rPr>
        <w:t>2020年度部门决算情况说明</w:t>
      </w:r>
    </w:p>
    <w:p>
      <w:pPr>
        <w:widowControl/>
        <w:snapToGrid w:val="0"/>
        <w:spacing w:after="100" w:afterAutospacing="1" w:line="590" w:lineRule="atLeast"/>
        <w:jc w:val="left"/>
        <w:rPr>
          <w:rFonts w:hint="eastAsia" w:ascii="宋体" w:hAnsi="宋体" w:eastAsia="宋体" w:cs="宋体"/>
          <w:b w:val="0"/>
          <w:bCs w:val="0"/>
          <w:kern w:val="0"/>
          <w:sz w:val="24"/>
          <w:szCs w:val="24"/>
        </w:rPr>
      </w:pPr>
      <w:r>
        <w:rPr>
          <w:rFonts w:hint="eastAsia" w:ascii="楷体" w:hAnsi="楷体" w:eastAsia="楷体" w:cs="宋体"/>
          <w:b w:val="0"/>
          <w:bCs w:val="0"/>
          <w:kern w:val="0"/>
          <w:sz w:val="30"/>
          <w:szCs w:val="30"/>
          <w:shd w:val="clear" w:color="auto" w:fill="FFFFFF"/>
        </w:rPr>
        <w:t>一、收入决算情况说明</w:t>
      </w:r>
    </w:p>
    <w:p>
      <w:pPr>
        <w:widowControl/>
        <w:snapToGrid w:val="0"/>
        <w:spacing w:after="100" w:afterAutospacing="1" w:line="590" w:lineRule="atLeast"/>
        <w:jc w:val="left"/>
        <w:rPr>
          <w:rFonts w:hint="eastAsia" w:ascii="宋体" w:hAnsi="宋体" w:eastAsia="宋体" w:cs="宋体"/>
          <w:b w:val="0"/>
          <w:bCs w:val="0"/>
          <w:kern w:val="0"/>
          <w:sz w:val="24"/>
          <w:szCs w:val="24"/>
        </w:rPr>
      </w:pPr>
      <w:r>
        <w:rPr>
          <w:rFonts w:hint="eastAsia" w:ascii="楷体" w:hAnsi="楷体" w:eastAsia="楷体" w:cs="宋体"/>
          <w:b w:val="0"/>
          <w:bCs w:val="0"/>
          <w:kern w:val="0"/>
          <w:sz w:val="30"/>
          <w:szCs w:val="30"/>
          <w:shd w:val="clear" w:color="auto" w:fill="FFFFFF"/>
        </w:rPr>
        <w:t>二、支出决算情况说明</w:t>
      </w:r>
    </w:p>
    <w:p>
      <w:pPr>
        <w:widowControl/>
        <w:snapToGrid w:val="0"/>
        <w:spacing w:after="100" w:afterAutospacing="1" w:line="590" w:lineRule="atLeast"/>
        <w:jc w:val="left"/>
        <w:rPr>
          <w:rFonts w:hint="eastAsia" w:ascii="宋体" w:hAnsi="宋体" w:eastAsia="宋体" w:cs="宋体"/>
          <w:b w:val="0"/>
          <w:bCs w:val="0"/>
          <w:kern w:val="0"/>
          <w:sz w:val="24"/>
          <w:szCs w:val="24"/>
        </w:rPr>
      </w:pPr>
      <w:r>
        <w:rPr>
          <w:rFonts w:hint="eastAsia" w:ascii="楷体" w:hAnsi="楷体" w:eastAsia="楷体" w:cs="宋体"/>
          <w:b w:val="0"/>
          <w:bCs w:val="0"/>
          <w:kern w:val="0"/>
          <w:sz w:val="30"/>
          <w:szCs w:val="30"/>
          <w:shd w:val="clear" w:color="auto" w:fill="FFFFFF"/>
        </w:rPr>
        <w:t>三、一般公共预算财政拨款支出决算情况说明</w:t>
      </w:r>
    </w:p>
    <w:p>
      <w:pPr>
        <w:widowControl/>
        <w:snapToGrid w:val="0"/>
        <w:spacing w:after="100" w:afterAutospacing="1" w:line="590" w:lineRule="atLeast"/>
        <w:jc w:val="left"/>
        <w:rPr>
          <w:rFonts w:hint="eastAsia" w:ascii="宋体" w:hAnsi="宋体" w:eastAsia="宋体" w:cs="宋体"/>
          <w:b w:val="0"/>
          <w:bCs w:val="0"/>
          <w:kern w:val="0"/>
          <w:sz w:val="24"/>
          <w:szCs w:val="24"/>
        </w:rPr>
      </w:pPr>
      <w:r>
        <w:rPr>
          <w:rFonts w:hint="eastAsia" w:ascii="楷体" w:hAnsi="楷体" w:eastAsia="楷体" w:cs="宋体"/>
          <w:b w:val="0"/>
          <w:bCs w:val="0"/>
          <w:kern w:val="0"/>
          <w:sz w:val="30"/>
          <w:szCs w:val="30"/>
          <w:shd w:val="clear" w:color="auto" w:fill="FFFFFF"/>
        </w:rPr>
        <w:t>四、一般公共预算财政拨款</w:t>
      </w:r>
      <w:r>
        <w:rPr>
          <w:rFonts w:hint="eastAsia" w:ascii="宋体" w:hAnsi="宋体" w:eastAsia="宋体" w:cs="宋体"/>
          <w:b w:val="0"/>
          <w:bCs w:val="0"/>
          <w:kern w:val="0"/>
          <w:sz w:val="24"/>
          <w:szCs w:val="24"/>
          <w:shd w:val="clear" w:color="auto" w:fill="FFFFFF"/>
        </w:rPr>
        <w:t>“</w:t>
      </w:r>
      <w:r>
        <w:rPr>
          <w:rFonts w:hint="eastAsia" w:ascii="楷体" w:hAnsi="楷体" w:eastAsia="楷体" w:cs="宋体"/>
          <w:b w:val="0"/>
          <w:bCs w:val="0"/>
          <w:kern w:val="0"/>
          <w:sz w:val="30"/>
          <w:szCs w:val="30"/>
          <w:shd w:val="clear" w:color="auto" w:fill="FFFFFF"/>
        </w:rPr>
        <w:t>三公</w:t>
      </w:r>
      <w:r>
        <w:rPr>
          <w:rFonts w:hint="eastAsia" w:ascii="宋体" w:hAnsi="宋体" w:eastAsia="宋体" w:cs="宋体"/>
          <w:b w:val="0"/>
          <w:bCs w:val="0"/>
          <w:kern w:val="0"/>
          <w:sz w:val="24"/>
          <w:szCs w:val="24"/>
          <w:shd w:val="clear" w:color="auto" w:fill="FFFFFF"/>
        </w:rPr>
        <w:t>”</w:t>
      </w:r>
      <w:r>
        <w:rPr>
          <w:rFonts w:hint="eastAsia" w:ascii="楷体" w:hAnsi="楷体" w:eastAsia="楷体" w:cs="宋体"/>
          <w:b w:val="0"/>
          <w:bCs w:val="0"/>
          <w:kern w:val="0"/>
          <w:sz w:val="30"/>
          <w:szCs w:val="30"/>
          <w:shd w:val="clear" w:color="auto" w:fill="FFFFFF"/>
        </w:rPr>
        <w:t>经费支出决算情况说明</w:t>
      </w:r>
    </w:p>
    <w:p>
      <w:pPr>
        <w:widowControl/>
        <w:snapToGrid w:val="0"/>
        <w:spacing w:after="100" w:afterAutospacing="1" w:line="590" w:lineRule="atLeast"/>
        <w:jc w:val="left"/>
        <w:rPr>
          <w:rFonts w:hint="eastAsia" w:ascii="宋体" w:hAnsi="宋体" w:eastAsia="宋体" w:cs="宋体"/>
          <w:b w:val="0"/>
          <w:bCs w:val="0"/>
          <w:kern w:val="0"/>
          <w:sz w:val="24"/>
          <w:szCs w:val="24"/>
        </w:rPr>
      </w:pPr>
      <w:r>
        <w:rPr>
          <w:rFonts w:hint="eastAsia" w:ascii="黑体" w:hAnsi="黑体" w:eastAsia="黑体" w:cs="宋体"/>
          <w:b w:val="0"/>
          <w:bCs w:val="0"/>
          <w:kern w:val="0"/>
          <w:sz w:val="30"/>
          <w:szCs w:val="30"/>
          <w:shd w:val="clear" w:color="auto" w:fill="FFFFFF"/>
        </w:rPr>
        <w:t>第四部分</w:t>
      </w:r>
      <w:r>
        <w:rPr>
          <w:rFonts w:hint="eastAsia" w:ascii="黑体" w:hAnsi="宋体" w:eastAsia="黑体" w:cs="宋体"/>
          <w:b w:val="0"/>
          <w:bCs w:val="0"/>
          <w:kern w:val="0"/>
          <w:sz w:val="30"/>
          <w:szCs w:val="30"/>
          <w:shd w:val="clear" w:color="auto" w:fill="FFFFFF"/>
        </w:rPr>
        <w:t xml:space="preserve"> 其他重要事项及相关口径情况说明</w:t>
      </w:r>
    </w:p>
    <w:p>
      <w:pPr>
        <w:widowControl/>
        <w:snapToGrid w:val="0"/>
        <w:spacing w:after="100" w:afterAutospacing="1" w:line="590" w:lineRule="atLeast"/>
        <w:jc w:val="left"/>
        <w:rPr>
          <w:rFonts w:hint="eastAsia" w:ascii="宋体" w:hAnsi="宋体" w:eastAsia="宋体" w:cs="宋体"/>
          <w:b w:val="0"/>
          <w:bCs w:val="0"/>
          <w:kern w:val="0"/>
          <w:sz w:val="24"/>
          <w:szCs w:val="24"/>
        </w:rPr>
      </w:pPr>
      <w:r>
        <w:rPr>
          <w:rFonts w:hint="eastAsia" w:ascii="楷体" w:hAnsi="楷体" w:eastAsia="楷体" w:cs="宋体"/>
          <w:b w:val="0"/>
          <w:bCs w:val="0"/>
          <w:kern w:val="0"/>
          <w:sz w:val="30"/>
          <w:szCs w:val="30"/>
          <w:shd w:val="clear" w:color="auto" w:fill="FFFFFF"/>
        </w:rPr>
        <w:t>一、机关运行经费支出情况</w:t>
      </w:r>
    </w:p>
    <w:p>
      <w:pPr>
        <w:widowControl/>
        <w:snapToGrid w:val="0"/>
        <w:spacing w:after="100" w:afterAutospacing="1" w:line="590" w:lineRule="atLeast"/>
        <w:jc w:val="left"/>
        <w:rPr>
          <w:rFonts w:hint="eastAsia" w:ascii="宋体" w:hAnsi="宋体" w:eastAsia="宋体" w:cs="宋体"/>
          <w:b w:val="0"/>
          <w:bCs w:val="0"/>
          <w:kern w:val="0"/>
          <w:sz w:val="24"/>
          <w:szCs w:val="24"/>
        </w:rPr>
      </w:pPr>
      <w:r>
        <w:rPr>
          <w:rFonts w:hint="eastAsia" w:ascii="楷体" w:hAnsi="楷体" w:eastAsia="楷体" w:cs="宋体"/>
          <w:b w:val="0"/>
          <w:bCs w:val="0"/>
          <w:kern w:val="0"/>
          <w:sz w:val="30"/>
          <w:szCs w:val="30"/>
          <w:shd w:val="clear" w:color="auto" w:fill="FFFFFF"/>
        </w:rPr>
        <w:t>二、国有资产占用情况</w:t>
      </w:r>
    </w:p>
    <w:p>
      <w:pPr>
        <w:widowControl/>
        <w:snapToGrid w:val="0"/>
        <w:spacing w:after="100" w:afterAutospacing="1" w:line="590" w:lineRule="atLeast"/>
        <w:jc w:val="left"/>
        <w:rPr>
          <w:rFonts w:hint="eastAsia" w:ascii="宋体" w:hAnsi="宋体" w:eastAsia="宋体" w:cs="宋体"/>
          <w:b w:val="0"/>
          <w:bCs w:val="0"/>
          <w:kern w:val="0"/>
          <w:sz w:val="24"/>
          <w:szCs w:val="24"/>
        </w:rPr>
      </w:pPr>
      <w:r>
        <w:rPr>
          <w:rFonts w:hint="eastAsia" w:ascii="楷体" w:hAnsi="楷体" w:eastAsia="楷体" w:cs="宋体"/>
          <w:b w:val="0"/>
          <w:bCs w:val="0"/>
          <w:kern w:val="0"/>
          <w:sz w:val="30"/>
          <w:szCs w:val="30"/>
          <w:shd w:val="clear" w:color="auto" w:fill="FFFFFF"/>
        </w:rPr>
        <w:t>三、政府采购支出情况</w:t>
      </w:r>
    </w:p>
    <w:p>
      <w:pPr>
        <w:widowControl/>
        <w:snapToGrid w:val="0"/>
        <w:spacing w:after="100" w:afterAutospacing="1" w:line="590" w:lineRule="atLeast"/>
        <w:jc w:val="left"/>
        <w:rPr>
          <w:rFonts w:hint="eastAsia" w:ascii="宋体" w:hAnsi="宋体" w:eastAsia="宋体" w:cs="宋体"/>
          <w:b w:val="0"/>
          <w:bCs w:val="0"/>
          <w:kern w:val="0"/>
          <w:sz w:val="24"/>
          <w:szCs w:val="24"/>
        </w:rPr>
      </w:pPr>
      <w:r>
        <w:rPr>
          <w:rFonts w:hint="eastAsia" w:ascii="楷体" w:hAnsi="楷体" w:eastAsia="楷体" w:cs="宋体"/>
          <w:b w:val="0"/>
          <w:bCs w:val="0"/>
          <w:kern w:val="0"/>
          <w:sz w:val="30"/>
          <w:szCs w:val="30"/>
          <w:shd w:val="clear" w:color="auto" w:fill="FFFFFF"/>
        </w:rPr>
        <w:t>四、部门绩效自评情况</w:t>
      </w:r>
    </w:p>
    <w:p>
      <w:pPr>
        <w:widowControl/>
        <w:snapToGrid w:val="0"/>
        <w:spacing w:after="100" w:afterAutospacing="1" w:line="590" w:lineRule="atLeast"/>
        <w:jc w:val="left"/>
        <w:rPr>
          <w:rFonts w:hint="eastAsia" w:ascii="宋体" w:hAnsi="宋体" w:eastAsia="宋体" w:cs="宋体"/>
          <w:b w:val="0"/>
          <w:bCs w:val="0"/>
          <w:kern w:val="0"/>
          <w:sz w:val="24"/>
          <w:szCs w:val="24"/>
        </w:rPr>
      </w:pPr>
      <w:r>
        <w:rPr>
          <w:rFonts w:hint="eastAsia" w:ascii="楷体" w:hAnsi="楷体" w:eastAsia="楷体" w:cs="宋体"/>
          <w:b w:val="0"/>
          <w:bCs w:val="0"/>
          <w:kern w:val="0"/>
          <w:sz w:val="30"/>
          <w:szCs w:val="30"/>
          <w:shd w:val="clear" w:color="auto" w:fill="FFFFFF"/>
        </w:rPr>
        <w:t>（一）部门整体支出绩效自评情况</w:t>
      </w:r>
    </w:p>
    <w:p>
      <w:pPr>
        <w:widowControl/>
        <w:snapToGrid w:val="0"/>
        <w:spacing w:after="100" w:afterAutospacing="1" w:line="590" w:lineRule="atLeast"/>
        <w:jc w:val="left"/>
        <w:rPr>
          <w:rFonts w:hint="eastAsia" w:ascii="宋体" w:hAnsi="宋体" w:eastAsia="宋体" w:cs="宋体"/>
          <w:b w:val="0"/>
          <w:bCs w:val="0"/>
          <w:kern w:val="0"/>
          <w:sz w:val="24"/>
          <w:szCs w:val="24"/>
        </w:rPr>
      </w:pPr>
      <w:r>
        <w:rPr>
          <w:rFonts w:hint="eastAsia" w:ascii="楷体" w:hAnsi="楷体" w:eastAsia="楷体" w:cs="宋体"/>
          <w:b w:val="0"/>
          <w:bCs w:val="0"/>
          <w:kern w:val="0"/>
          <w:sz w:val="30"/>
          <w:szCs w:val="30"/>
          <w:shd w:val="clear" w:color="auto" w:fill="FFFFFF"/>
        </w:rPr>
        <w:t>（二）部门整体支出绩效自评表</w:t>
      </w:r>
    </w:p>
    <w:p>
      <w:pPr>
        <w:widowControl/>
        <w:snapToGrid w:val="0"/>
        <w:spacing w:after="100" w:afterAutospacing="1" w:line="590" w:lineRule="atLeast"/>
        <w:jc w:val="left"/>
        <w:rPr>
          <w:rFonts w:hint="eastAsia" w:ascii="宋体" w:hAnsi="宋体" w:eastAsia="宋体" w:cs="宋体"/>
          <w:b w:val="0"/>
          <w:bCs w:val="0"/>
          <w:kern w:val="0"/>
          <w:sz w:val="24"/>
          <w:szCs w:val="24"/>
        </w:rPr>
      </w:pPr>
      <w:r>
        <w:rPr>
          <w:rFonts w:hint="eastAsia" w:ascii="楷体" w:hAnsi="楷体" w:eastAsia="楷体" w:cs="宋体"/>
          <w:b w:val="0"/>
          <w:bCs w:val="0"/>
          <w:kern w:val="0"/>
          <w:sz w:val="30"/>
          <w:szCs w:val="30"/>
          <w:shd w:val="clear" w:color="auto" w:fill="FFFFFF"/>
        </w:rPr>
        <w:t>（三）项目支出绩效自评表</w:t>
      </w:r>
    </w:p>
    <w:p>
      <w:pPr>
        <w:widowControl/>
        <w:snapToGrid w:val="0"/>
        <w:spacing w:after="100" w:afterAutospacing="1" w:line="590" w:lineRule="atLeast"/>
        <w:jc w:val="left"/>
        <w:rPr>
          <w:rFonts w:hint="eastAsia" w:ascii="宋体" w:hAnsi="宋体" w:eastAsia="宋体" w:cs="宋体"/>
          <w:b w:val="0"/>
          <w:bCs w:val="0"/>
          <w:kern w:val="0"/>
          <w:sz w:val="24"/>
          <w:szCs w:val="24"/>
        </w:rPr>
      </w:pPr>
      <w:r>
        <w:rPr>
          <w:rFonts w:hint="eastAsia" w:ascii="楷体" w:hAnsi="楷体" w:eastAsia="楷体" w:cs="宋体"/>
          <w:b w:val="0"/>
          <w:bCs w:val="0"/>
          <w:kern w:val="0"/>
          <w:sz w:val="30"/>
          <w:szCs w:val="30"/>
          <w:shd w:val="clear" w:color="auto" w:fill="FFFFFF"/>
        </w:rPr>
        <w:t>五、其他重要事项情况说明</w:t>
      </w:r>
    </w:p>
    <w:p>
      <w:pPr>
        <w:widowControl/>
        <w:snapToGrid w:val="0"/>
        <w:spacing w:after="100" w:afterAutospacing="1" w:line="590" w:lineRule="atLeast"/>
        <w:jc w:val="left"/>
        <w:rPr>
          <w:rFonts w:hint="eastAsia" w:ascii="宋体" w:hAnsi="宋体" w:eastAsia="宋体" w:cs="宋体"/>
          <w:b w:val="0"/>
          <w:bCs w:val="0"/>
          <w:kern w:val="0"/>
          <w:sz w:val="24"/>
          <w:szCs w:val="24"/>
        </w:rPr>
      </w:pPr>
      <w:r>
        <w:rPr>
          <w:rFonts w:hint="eastAsia" w:ascii="黑体" w:hAnsi="黑体" w:eastAsia="黑体" w:cs="宋体"/>
          <w:b w:val="0"/>
          <w:bCs w:val="0"/>
          <w:kern w:val="0"/>
          <w:sz w:val="30"/>
          <w:szCs w:val="30"/>
          <w:shd w:val="clear" w:color="auto" w:fill="FFFFFF"/>
        </w:rPr>
        <w:t>第五部分</w:t>
      </w:r>
      <w:r>
        <w:rPr>
          <w:rFonts w:hint="eastAsia" w:ascii="黑体" w:hAnsi="宋体" w:eastAsia="黑体" w:cs="宋体"/>
          <w:b w:val="0"/>
          <w:bCs w:val="0"/>
          <w:kern w:val="0"/>
          <w:sz w:val="30"/>
          <w:szCs w:val="30"/>
          <w:shd w:val="clear" w:color="auto" w:fill="FFFFFF"/>
        </w:rPr>
        <w:t xml:space="preserve"> 名词解释</w:t>
      </w:r>
    </w:p>
    <w:p>
      <w:pPr>
        <w:widowControl/>
        <w:snapToGrid w:val="0"/>
        <w:spacing w:after="100" w:afterAutospacing="1" w:line="600" w:lineRule="atLeast"/>
        <w:jc w:val="left"/>
        <w:rPr>
          <w:rFonts w:hint="eastAsia" w:ascii="宋体" w:hAnsi="宋体" w:eastAsia="宋体" w:cs="宋体"/>
          <w:b w:val="0"/>
          <w:bCs w:val="0"/>
          <w:kern w:val="0"/>
          <w:sz w:val="24"/>
          <w:szCs w:val="24"/>
        </w:rPr>
      </w:pPr>
    </w:p>
    <w:p>
      <w:pPr>
        <w:widowControl/>
        <w:snapToGrid w:val="0"/>
        <w:spacing w:after="100" w:afterAutospacing="1" w:line="600" w:lineRule="atLeast"/>
        <w:jc w:val="left"/>
        <w:rPr>
          <w:rFonts w:hint="eastAsia" w:ascii="宋体" w:hAnsi="宋体" w:eastAsia="宋体" w:cs="宋体"/>
          <w:b w:val="0"/>
          <w:bCs w:val="0"/>
          <w:kern w:val="0"/>
          <w:sz w:val="24"/>
          <w:szCs w:val="24"/>
        </w:rPr>
      </w:pPr>
      <w:r>
        <w:rPr>
          <w:rFonts w:hint="eastAsia" w:ascii="黑体" w:hAnsi="黑体" w:eastAsia="黑体" w:cs="宋体"/>
          <w:b w:val="0"/>
          <w:bCs w:val="0"/>
          <w:kern w:val="0"/>
          <w:sz w:val="32"/>
          <w:szCs w:val="32"/>
          <w:shd w:val="clear" w:color="auto" w:fill="FFFFFF"/>
        </w:rPr>
        <w:t>第一部分</w:t>
      </w:r>
      <w:r>
        <w:rPr>
          <w:rFonts w:hint="eastAsia" w:ascii="黑体" w:hAnsi="宋体" w:eastAsia="黑体" w:cs="宋体"/>
          <w:b w:val="0"/>
          <w:bCs w:val="0"/>
          <w:kern w:val="0"/>
          <w:sz w:val="32"/>
          <w:szCs w:val="32"/>
          <w:shd w:val="clear" w:color="auto" w:fill="FFFFFF"/>
        </w:rPr>
        <w:t xml:space="preserve"> 迪庆藏族自治州</w:t>
      </w:r>
      <w:r>
        <w:rPr>
          <w:rFonts w:hint="eastAsia" w:ascii="黑体" w:hAnsi="黑体" w:eastAsia="黑体" w:cs="宋体"/>
          <w:b w:val="0"/>
          <w:bCs w:val="0"/>
          <w:kern w:val="0"/>
          <w:sz w:val="32"/>
          <w:szCs w:val="32"/>
          <w:shd w:val="clear" w:color="auto" w:fill="FFFFFF"/>
        </w:rPr>
        <w:t>农业科学研究院概况</w:t>
      </w:r>
    </w:p>
    <w:p>
      <w:pPr>
        <w:widowControl/>
        <w:snapToGrid w:val="0"/>
        <w:spacing w:after="100" w:afterAutospacing="1" w:line="590" w:lineRule="atLeast"/>
        <w:ind w:firstLine="600"/>
        <w:jc w:val="left"/>
        <w:rPr>
          <w:rFonts w:hint="eastAsia" w:ascii="宋体" w:hAnsi="宋体" w:eastAsia="宋体" w:cs="宋体"/>
          <w:b w:val="0"/>
          <w:bCs w:val="0"/>
          <w:kern w:val="0"/>
          <w:sz w:val="24"/>
          <w:szCs w:val="24"/>
        </w:rPr>
      </w:pPr>
      <w:r>
        <w:rPr>
          <w:rFonts w:hint="eastAsia" w:ascii="黑体" w:hAnsi="黑体" w:eastAsia="黑体" w:cs="宋体"/>
          <w:b w:val="0"/>
          <w:bCs w:val="0"/>
          <w:kern w:val="0"/>
          <w:sz w:val="30"/>
          <w:szCs w:val="30"/>
          <w:shd w:val="clear" w:color="auto" w:fill="FFFFFF"/>
        </w:rPr>
        <w:t>一、主要职能</w:t>
      </w:r>
    </w:p>
    <w:p>
      <w:pPr>
        <w:widowControl/>
        <w:snapToGrid w:val="0"/>
        <w:spacing w:line="360" w:lineRule="auto"/>
        <w:ind w:firstLine="64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2020年以中央和省、州农业农村工作精神为指针，按照主管局的总体部署，加强农作物新品种、新技术试验示范及推广应用，加大农业提质增效项目实施，搞好种子、化肥、农药行业管理，提升行业服务能力和服务质量，为我州农业又好又快发展提供强有力的技术支持。</w:t>
      </w:r>
    </w:p>
    <w:p>
      <w:pPr>
        <w:widowControl/>
        <w:numPr>
          <w:ilvl w:val="0"/>
          <w:numId w:val="1"/>
        </w:numPr>
        <w:snapToGrid w:val="0"/>
        <w:spacing w:line="360" w:lineRule="auto"/>
        <w:ind w:firstLine="641"/>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2020年度工作思路及目标</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坚持习近平</w:t>
      </w:r>
      <w:bookmarkStart w:id="0" w:name="_GoBack"/>
      <w:bookmarkEnd w:id="0"/>
      <w:r>
        <w:rPr>
          <w:rFonts w:hint="eastAsia" w:ascii="仿宋" w:hAnsi="仿宋" w:eastAsia="仿宋" w:cs="仿宋"/>
          <w:b w:val="0"/>
          <w:bCs w:val="0"/>
          <w:kern w:val="0"/>
          <w:sz w:val="30"/>
          <w:szCs w:val="30"/>
        </w:rPr>
        <w:t>新时代中国特色社会主义思想为指导，深入贯彻落实十九届、三中、四中、五中全会精神，农业、农村工作的方针政策，紧紧围绕上级主管部门的工作部署，推进高原特色农业发展和农民增收，强化农业新技术服务，优化品种结构，以种子和技术创新为突破口，加快建立粮油作物绿色高质高效示范片建设；加大优良品种、优势技术推广，提高我州农业综合生产能力和市场竞争能力。</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1.巩固提升规范化党支部达标创建活动成果，做到抓重点，显特色，出亮点，努力向先进党支部靠拢；</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2.围绕重点目标、重点项目和重点工作，加快推进各项工作，如期完成各项目标任务；</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3.加强农作物新品种、新技术的推广力度，确保主导品种和主推技术的</w:t>
      </w:r>
      <w:r>
        <w:rPr>
          <w:rFonts w:hint="eastAsia" w:ascii="仿宋" w:hAnsi="仿宋" w:eastAsia="仿宋" w:cs="仿宋"/>
          <w:b w:val="0"/>
          <w:bCs w:val="0"/>
          <w:kern w:val="0"/>
          <w:sz w:val="30"/>
          <w:szCs w:val="30"/>
          <w:lang w:eastAsia="zh-CN"/>
        </w:rPr>
        <w:t>覆</w:t>
      </w:r>
      <w:r>
        <w:rPr>
          <w:rFonts w:hint="eastAsia" w:ascii="仿宋" w:hAnsi="仿宋" w:eastAsia="仿宋" w:cs="仿宋"/>
          <w:b w:val="0"/>
          <w:bCs w:val="0"/>
          <w:kern w:val="0"/>
          <w:sz w:val="30"/>
          <w:szCs w:val="30"/>
        </w:rPr>
        <w:t>盖率；</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4.加强种子、化肥、农药等农资市场的监督、指导；</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5.完成农业农村发展、全州基层农技推广体系、农情、种子、植保等统计分析工作；</w:t>
      </w:r>
    </w:p>
    <w:p>
      <w:pPr>
        <w:widowControl/>
        <w:snapToGrid w:val="0"/>
        <w:spacing w:line="360" w:lineRule="auto"/>
        <w:ind w:firstLine="64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6.认真落实党风廉政</w:t>
      </w:r>
      <w:r>
        <w:rPr>
          <w:rFonts w:hint="eastAsia" w:ascii="仿宋" w:hAnsi="仿宋" w:eastAsia="仿宋" w:cs="仿宋"/>
          <w:b w:val="0"/>
          <w:bCs w:val="0"/>
          <w:kern w:val="0"/>
          <w:sz w:val="30"/>
          <w:szCs w:val="30"/>
          <w:lang w:eastAsia="zh-CN"/>
        </w:rPr>
        <w:t>建设</w:t>
      </w:r>
      <w:r>
        <w:rPr>
          <w:rFonts w:hint="eastAsia" w:ascii="仿宋" w:hAnsi="仿宋" w:eastAsia="仿宋" w:cs="仿宋"/>
          <w:b w:val="0"/>
          <w:bCs w:val="0"/>
          <w:kern w:val="0"/>
          <w:sz w:val="30"/>
          <w:szCs w:val="30"/>
        </w:rPr>
        <w:t>责任制，切实改进工作作风；</w:t>
      </w:r>
    </w:p>
    <w:p>
      <w:pPr>
        <w:widowControl/>
        <w:snapToGrid w:val="0"/>
        <w:spacing w:line="360" w:lineRule="auto"/>
        <w:ind w:firstLine="64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7.认真落实意识形态工作；</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8.按时、按质、按量完成上级主管部门交办的各项工作。进一步完善工作制度、加强日常工作管理。</w:t>
      </w:r>
    </w:p>
    <w:p>
      <w:pPr>
        <w:widowControl/>
        <w:snapToGrid w:val="0"/>
        <w:spacing w:before="100" w:beforeAutospacing="1" w:after="100" w:afterAutospacing="1" w:line="360" w:lineRule="auto"/>
        <w:ind w:firstLine="600" w:firstLineChars="200"/>
        <w:jc w:val="left"/>
        <w:outlineLvl w:val="1"/>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（二）主要工作成效</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1、加强农业科技集成技术推广，保障粮食安全生产</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全州各级农业部门在主要产粮乡镇实施以玉米、小麦（青稞）、水稻、马铃薯、油菜为主的粮油作物绿色高质高效栽培集成技术推广示范，大力开展测土配方施肥技术及病虫草鼠害综合防治技术，广泛采用良种良法及先进适用的农机与农艺相融合的集成配套技术，加大项目区群众的科技培训力度，努力提高农民种粮的积极性，不断依靠现代农业科技提高粮食产量和品质，确保我州主要粮油作物种植面积稳定在合理水平。2020年全州农作物种植面积为64.04万亩，较上年63.97万亩，增0.07万亩，其中水稻种植面积3.80万亩，玉米种植26.50万亩，小麦种植9.00万亩，大麦种植1.50万亩，青稞种植7.11万亩，豆类种植6.52万亩，马铃薯种植7.20万亩，其他作物2.41万亩。</w:t>
      </w:r>
    </w:p>
    <w:p>
      <w:pPr>
        <w:widowControl/>
        <w:snapToGrid w:val="0"/>
        <w:spacing w:line="360" w:lineRule="auto"/>
        <w:ind w:firstLine="641"/>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2、努力完成粮食生产发展专项项目，农业科技支撑能力得到新提高</w:t>
      </w:r>
    </w:p>
    <w:p>
      <w:pPr>
        <w:widowControl/>
        <w:snapToGrid w:val="0"/>
        <w:spacing w:line="360" w:lineRule="auto"/>
        <w:ind w:firstLine="640"/>
        <w:jc w:val="left"/>
        <w:rPr>
          <w:rFonts w:hint="eastAsia" w:ascii="仿宋" w:hAnsi="仿宋" w:eastAsia="仿宋" w:cs="仿宋"/>
          <w:b w:val="0"/>
          <w:bCs w:val="0"/>
          <w:color w:val="000000"/>
          <w:kern w:val="0"/>
          <w:sz w:val="30"/>
          <w:szCs w:val="30"/>
        </w:rPr>
      </w:pPr>
      <w:r>
        <w:rPr>
          <w:rFonts w:hint="eastAsia" w:ascii="仿宋" w:hAnsi="仿宋" w:eastAsia="仿宋" w:cs="仿宋"/>
          <w:b w:val="0"/>
          <w:bCs w:val="0"/>
          <w:kern w:val="0"/>
          <w:sz w:val="30"/>
          <w:szCs w:val="30"/>
        </w:rPr>
        <w:t>2020年我院在全州10个乡镇、19个行政村完成了粮油作物绿色高质高效创建、农药减量控害、耕地质量提升与化肥减量增效、“稻+”模式和农作物新品种展示示范等14个示范项目和1个基础科研项目，示范面积达10043亩，完成计划任务数的100%，其中：完成粮食作物绿色高质高效创建项目8个，完成农作物病虫害监测与防控项目1个、重金属污染种植结构调整示范基地建设项目1个、农药减量控害项目1个、耕地质量提升与化肥减量增效项目1个、“稻+”模式1个、农作物新品种展示示范项目1个和脱毒马铃薯原原种扩繁项目1个。涉及作物有水稻、玉米、青稞、马铃薯。经2020年迪庆州州级绿色高质高效创建项目专家验收组按农业部测产验收办法进行测产，创建活动各项绩效指标超额完成，新增效益达309.34万元，科技培训人数达5185人，取得了显著经济效益。通过创建活动，为全州绿色农业发展起到很好的示范带动作用。</w:t>
      </w:r>
    </w:p>
    <w:p>
      <w:pPr>
        <w:widowControl/>
        <w:snapToGrid w:val="0"/>
        <w:spacing w:line="360" w:lineRule="auto"/>
        <w:ind w:left="640"/>
        <w:jc w:val="left"/>
        <w:rPr>
          <w:rFonts w:hint="eastAsia" w:ascii="仿宋" w:hAnsi="仿宋" w:eastAsia="仿宋" w:cs="仿宋"/>
          <w:b w:val="0"/>
          <w:bCs w:val="0"/>
          <w:color w:val="000000"/>
          <w:kern w:val="0"/>
          <w:sz w:val="30"/>
          <w:szCs w:val="30"/>
        </w:rPr>
      </w:pPr>
      <w:r>
        <w:rPr>
          <w:rFonts w:hint="eastAsia" w:ascii="仿宋" w:hAnsi="仿宋" w:eastAsia="仿宋" w:cs="仿宋"/>
          <w:b w:val="0"/>
          <w:bCs w:val="0"/>
          <w:kern w:val="0"/>
          <w:sz w:val="30"/>
          <w:szCs w:val="30"/>
        </w:rPr>
        <w:t>3、完成国家现代农业产业技术体系年度建设任务</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（1）完成国家现代农业燕麦荞麦产业技术体系迪庆综合试验站2020年建设任务。</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（2）完成国家现代农业大麦（青稞）产业技术体系迪庆综合试验站2020年度建设任务。</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4、做好农业基础研究工作</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（1）加强组织培养技术研究，完成实验室各项工作。</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一是开展马铃薯脱毒工作，完成脱毒苗277瓶，2770苗。</w:t>
      </w:r>
    </w:p>
    <w:p>
      <w:pPr>
        <w:widowControl/>
        <w:snapToGrid w:val="0"/>
        <w:spacing w:line="360" w:lineRule="auto"/>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二是马铃薯组培苗生产情况，完成组培苗2463瓶，24630苗。</w:t>
      </w:r>
    </w:p>
    <w:p>
      <w:pPr>
        <w:widowControl/>
        <w:snapToGrid w:val="0"/>
        <w:spacing w:line="360" w:lineRule="auto"/>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三是马铃薯雾培及仿雾培生产原原种情况。完成原原种50249粒，原种22055粒。</w:t>
      </w:r>
    </w:p>
    <w:p>
      <w:pPr>
        <w:widowControl/>
        <w:snapToGrid w:val="0"/>
        <w:spacing w:line="360" w:lineRule="auto"/>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四是马铃薯壮苗试验开展情况。云薯304、中甸红采用水培壮苗试验，全年完成9900株组培苗壮苗试验，成活率达95%。</w:t>
      </w:r>
    </w:p>
    <w:p>
      <w:pPr>
        <w:widowControl/>
        <w:snapToGrid w:val="0"/>
        <w:spacing w:line="360" w:lineRule="auto"/>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五是完成维西山药雾培、土培试验。雾培收获山药籽168粒，土培收获512粒，共计680粒。</w:t>
      </w:r>
    </w:p>
    <w:p>
      <w:pPr>
        <w:widowControl/>
        <w:snapToGrid w:val="0"/>
        <w:spacing w:line="360" w:lineRule="auto"/>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六是中药材组培研究工作完成情况。继续开展“迪庆州野生贝母组培技术及引种驯化栽培”课题研究，同时研究辐射到金线莲、半夏等品种，组培中药材2123瓶。</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（2）建立马铃薯种质资源圃。继续开展脱毒马铃薯种薯生产工作，利用雾培和仿雾培技术生产目前市场需求量大、开发前景较好的脱毒原原种。</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color w:val="000000"/>
          <w:kern w:val="0"/>
          <w:sz w:val="30"/>
          <w:szCs w:val="30"/>
        </w:rPr>
        <w:t>（3）开展葡萄产业和马铃薯种薯产业调研工作。</w:t>
      </w:r>
      <w:r>
        <w:rPr>
          <w:rFonts w:hint="eastAsia" w:ascii="仿宋" w:hAnsi="仿宋" w:eastAsia="仿宋" w:cs="仿宋"/>
          <w:b w:val="0"/>
          <w:bCs w:val="0"/>
          <w:kern w:val="0"/>
          <w:sz w:val="30"/>
          <w:szCs w:val="30"/>
        </w:rPr>
        <w:t>形成调研报告1份，实施迪庆高原葡萄引种栽培技术试验示范项目，引进葡萄新品种13个，开展田间检查、督导、验收工作达4次，发放种苗，进行种植技术、病虫害防控、修剪枝技术培训达200多人次。</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（4）完成中药材标准制定2020年工作。</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（5）完成中药材资源圃建设。</w:t>
      </w:r>
    </w:p>
    <w:p>
      <w:pPr>
        <w:widowControl/>
        <w:snapToGrid w:val="0"/>
        <w:spacing w:line="360" w:lineRule="auto"/>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（6）完成“2020年迪庆州脱毒马铃薯原原种扩繁技术研究”项目。</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（7）完成“迪庆高原杜鹃驯化栽培与繁育技术研究”项目。</w:t>
      </w:r>
    </w:p>
    <w:p>
      <w:pPr>
        <w:widowControl/>
        <w:snapToGrid w:val="0"/>
        <w:spacing w:line="360" w:lineRule="auto"/>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（8）</w:t>
      </w:r>
      <w:r>
        <w:rPr>
          <w:rFonts w:hint="eastAsia" w:ascii="仿宋" w:hAnsi="仿宋" w:eastAsia="仿宋" w:cs="仿宋"/>
          <w:b w:val="0"/>
          <w:bCs w:val="0"/>
          <w:kern w:val="0"/>
          <w:sz w:val="30"/>
          <w:szCs w:val="30"/>
        </w:rPr>
        <w:t>完成云南省现代农业麦类产业技术体系迪庆综合试验站工作。开展本区域麦类生产调研及田间指导5次，参加2020年云南省大麦（青稞）高产样板田间观摩会。</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（9）完成“迪庆州特色产业开发及示范基地建设”项目。</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5、积极完成农作物新品种、新技术试验示范工作</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（1）完成云南省重大科技专项计划青稞新品种联合测试及示范推广项目年度工作。</w:t>
      </w:r>
    </w:p>
    <w:p>
      <w:pPr>
        <w:widowControl/>
        <w:snapToGrid w:val="0"/>
        <w:spacing w:line="360" w:lineRule="auto"/>
        <w:ind w:firstLine="64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（2）开展杂交玉米新品种引种展示试验4组，参试品种29个，种植面积225亩，开展观摩培训人次100人次以上，群众满意度达85%以上。</w:t>
      </w:r>
    </w:p>
    <w:p>
      <w:pPr>
        <w:widowControl/>
        <w:snapToGrid w:val="0"/>
        <w:spacing w:line="360" w:lineRule="auto"/>
        <w:ind w:firstLine="64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（3）开展“晋荞麦2号”云南示范推广项目。</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（4）承担农业农村部《青稞生产技术规程》云南省生产验证试验。</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6、加强种子质量管理，保障用种安全</w:t>
      </w:r>
    </w:p>
    <w:p>
      <w:pPr>
        <w:widowControl/>
        <w:snapToGrid w:val="0"/>
        <w:spacing w:line="360" w:lineRule="auto"/>
        <w:ind w:firstLine="64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一是按《迪庆州关于开展2020年春季种子市场专项检查行动实施方案》要求组织开展州级农作物种子质量检查活动3次，县级自查自检9次，全年出动检查人员398人，出动车辆63次，检查种子销售集贸市场67次，检查种子销售门店97户。共扦样6个作物84个品种，完成133个样品室内三项指标（水分、净度、发芽率）检测工作。</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二是《种子法》及配套规章制度宣传工作，结合春、秋两季种子市场专项监督检查行动、放心农资下乡进村宣传周活动、科技项目进村开展科技培训活动大力宣传《中华人民共和国种子法》、《良种购买须知》等。全年累计召开20场宣传培训会，累计指导农户3000余人次，全年共发放宣传资料4000余份。指导县级开展农作物种子生产经营许可制度及操作指南培训一期，培训香格里拉市8家企业，36人次。农作物种子室内三项检验培训一期，培训香格里拉市种子检验人员11人次。</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三是根据云南省种子管理站种业信息统计工作要求，上报《种业基础信息统计表》、《云南省主要农作物良种推广面积统计表》、《农作物种子供需形势分析调度》和其他需要临时调度的种业信息情况、种子市场观察点监督指导情况。</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四是农作物种植资源普查与收集行动，组织实施迪庆州全国第三次农作物种质资源普查收集工作，制定《迪庆州第三次全国农作物种质资源普查与收集行动实施方案》，积极组织全州普查收集技术人员登录第三次全国农作物种植资源普查与收集行动官方网站开展网上自学培训工作，组织全州普查与收集工作人员参加省、州级专业培训2期，累计培训专业技术人员86人次，同时依据文件标准要求完成填写全州“第三次全国农作物种质资源普查与收集”普查表（1956/1981/2014年三个时间段)73份普查表，累计完成25个乡镇普查走访工作，收集农作物品种73份。超额完成省级下达的工作目标。</w:t>
      </w:r>
    </w:p>
    <w:p>
      <w:pPr>
        <w:widowControl/>
        <w:snapToGrid w:val="0"/>
        <w:spacing w:before="100" w:beforeAutospacing="1" w:after="100" w:afterAutospacing="1" w:line="360" w:lineRule="auto"/>
        <w:ind w:firstLine="600" w:firstLineChars="200"/>
        <w:jc w:val="left"/>
        <w:outlineLvl w:val="1"/>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五是严抓农作物种子备案工作，2020年全州备案在册经营网点共计57户，农作物种子销售网络备案率达100%，共计发放经营不分装种子备案书148份，其中香格里拉市发放63份、维西县发放63份、德钦县发放22份。</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7、推进化肥零增长行动</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color w:val="000000"/>
          <w:kern w:val="0"/>
          <w:sz w:val="30"/>
          <w:szCs w:val="30"/>
        </w:rPr>
        <w:t>以保障粮食等主要农产品有效供给和农业绿色发展为目标，以金沙江和澜沧江流域为重点，推进化肥减量增效测土配方施肥技术推广面积达到55万亩以上，测土配方施肥技术覆盖率达到90%以上，配方卡入户率达到93%以上。</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8、做好农作物重大病虫害预测预报及绿色防控指导工作</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一是开展绿色防控指导工作；二是做好</w:t>
      </w:r>
      <w:r>
        <w:rPr>
          <w:rFonts w:hint="eastAsia" w:ascii="仿宋" w:hAnsi="仿宋" w:eastAsia="仿宋" w:cs="仿宋"/>
          <w:b w:val="0"/>
          <w:bCs w:val="0"/>
          <w:color w:val="000000"/>
          <w:kern w:val="0"/>
          <w:sz w:val="30"/>
          <w:szCs w:val="30"/>
        </w:rPr>
        <w:t>农作物病虫害预警监测；</w:t>
      </w:r>
      <w:r>
        <w:rPr>
          <w:rFonts w:hint="eastAsia" w:ascii="仿宋" w:hAnsi="仿宋" w:eastAsia="仿宋" w:cs="仿宋"/>
          <w:b w:val="0"/>
          <w:bCs w:val="0"/>
          <w:kern w:val="0"/>
          <w:sz w:val="30"/>
          <w:szCs w:val="30"/>
        </w:rPr>
        <w:t>三是认真贯彻《植物检疫条例》；四是开展福寿螺、果树实蝇等重大病虫害发生防治情况调研；五是在德钦县拖顶乡拖顶村建设绿色防控示范区1500亩。</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9、做好迪庆州特色产业技术指导及培训</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color w:val="000000"/>
          <w:kern w:val="0"/>
          <w:sz w:val="30"/>
          <w:szCs w:val="30"/>
        </w:rPr>
        <w:t>围绕中药材、葡萄、蔬菜等七大产业组织全院科技人员积极申报“科技特派员”、“三区”人才、学科带头人，选派技术骨干到乡村、企业、合作社等指导产业发展、项目实施、技术培训，全年累计举办技术培训101场，</w:t>
      </w:r>
      <w:r>
        <w:rPr>
          <w:rFonts w:hint="eastAsia" w:ascii="仿宋" w:hAnsi="仿宋" w:eastAsia="仿宋" w:cs="仿宋"/>
          <w:b w:val="0"/>
          <w:bCs w:val="0"/>
          <w:color w:val="000000"/>
          <w:kern w:val="0"/>
          <w:sz w:val="30"/>
          <w:szCs w:val="30"/>
          <w:lang w:eastAsia="zh-CN"/>
        </w:rPr>
        <w:t>培训</w:t>
      </w:r>
      <w:r>
        <w:rPr>
          <w:rFonts w:hint="eastAsia" w:ascii="仿宋" w:hAnsi="仿宋" w:eastAsia="仿宋" w:cs="仿宋"/>
          <w:b w:val="0"/>
          <w:bCs w:val="0"/>
          <w:color w:val="000000"/>
          <w:kern w:val="0"/>
          <w:sz w:val="30"/>
          <w:szCs w:val="30"/>
        </w:rPr>
        <w:t>农</w:t>
      </w:r>
      <w:r>
        <w:rPr>
          <w:rFonts w:hint="eastAsia" w:ascii="仿宋" w:hAnsi="仿宋" w:eastAsia="仿宋" w:cs="仿宋"/>
          <w:b w:val="0"/>
          <w:bCs w:val="0"/>
          <w:color w:val="000000"/>
          <w:kern w:val="0"/>
          <w:sz w:val="30"/>
          <w:szCs w:val="30"/>
          <w:lang w:eastAsia="zh-CN"/>
        </w:rPr>
        <w:t>户</w:t>
      </w:r>
      <w:r>
        <w:rPr>
          <w:rFonts w:hint="eastAsia" w:ascii="仿宋" w:hAnsi="仿宋" w:eastAsia="仿宋" w:cs="仿宋"/>
          <w:b w:val="0"/>
          <w:bCs w:val="0"/>
          <w:color w:val="000000"/>
          <w:kern w:val="0"/>
          <w:sz w:val="30"/>
          <w:szCs w:val="30"/>
        </w:rPr>
        <w:t>达 13247人；发放培训资料7000余份，积极建设玉米、马铃薯、中药材、葡萄、蔬菜等科技示范基地，推进农业产业结构调整；加强与企业的技术合作，开展优质、特色新品种的育种、栽培技术研究，实现科研与企业、科研与产业的有机结合；</w:t>
      </w:r>
      <w:r>
        <w:rPr>
          <w:rFonts w:hint="eastAsia" w:ascii="仿宋" w:hAnsi="仿宋" w:eastAsia="仿宋" w:cs="仿宋"/>
          <w:b w:val="0"/>
          <w:bCs w:val="0"/>
          <w:kern w:val="0"/>
          <w:sz w:val="30"/>
          <w:szCs w:val="30"/>
        </w:rPr>
        <w:t>探索农民增收与乡村产业路径，为农民增收与乡村振兴提供技术支撑。</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 xml:space="preserve">10、全面完成2020年精准扶贫工作任务 </w:t>
      </w:r>
    </w:p>
    <w:p>
      <w:pPr>
        <w:widowControl/>
        <w:snapToGrid w:val="0"/>
        <w:spacing w:line="360" w:lineRule="auto"/>
        <w:ind w:firstLine="600" w:firstLineChars="200"/>
        <w:jc w:val="left"/>
        <w:rPr>
          <w:rFonts w:hint="eastAsia" w:ascii="仿宋" w:hAnsi="仿宋" w:eastAsia="仿宋" w:cs="仿宋"/>
          <w:b w:val="0"/>
          <w:bCs w:val="0"/>
          <w:color w:val="313131"/>
          <w:kern w:val="0"/>
          <w:sz w:val="30"/>
          <w:szCs w:val="30"/>
        </w:rPr>
      </w:pPr>
      <w:r>
        <w:rPr>
          <w:rFonts w:hint="eastAsia" w:ascii="仿宋" w:hAnsi="仿宋" w:eastAsia="仿宋" w:cs="仿宋"/>
          <w:b w:val="0"/>
          <w:bCs w:val="0"/>
          <w:color w:val="313131"/>
          <w:kern w:val="0"/>
          <w:sz w:val="30"/>
          <w:szCs w:val="30"/>
        </w:rPr>
        <w:t>一是继续派驻精准扶贫驻村工作队员，保障工作经费；</w:t>
      </w:r>
    </w:p>
    <w:p>
      <w:pPr>
        <w:widowControl/>
        <w:snapToGrid w:val="0"/>
        <w:spacing w:line="360" w:lineRule="auto"/>
        <w:ind w:firstLine="600" w:firstLineChars="200"/>
        <w:jc w:val="left"/>
        <w:rPr>
          <w:rFonts w:hint="eastAsia" w:ascii="仿宋" w:hAnsi="仿宋" w:eastAsia="仿宋" w:cs="仿宋"/>
          <w:b w:val="0"/>
          <w:bCs w:val="0"/>
          <w:color w:val="313131"/>
          <w:kern w:val="0"/>
          <w:sz w:val="30"/>
          <w:szCs w:val="30"/>
        </w:rPr>
      </w:pPr>
      <w:r>
        <w:rPr>
          <w:rFonts w:hint="eastAsia" w:ascii="仿宋" w:hAnsi="仿宋" w:eastAsia="仿宋" w:cs="仿宋"/>
          <w:b w:val="0"/>
          <w:bCs w:val="0"/>
          <w:color w:val="313131"/>
          <w:kern w:val="0"/>
          <w:sz w:val="30"/>
          <w:szCs w:val="30"/>
        </w:rPr>
        <w:t>二是针对贫困村发展特色产业遇到的困难及大力扶持种植业的项目。2020年迪庆州农科院在拉河柱村共实施4个农业项目，共计在拉河柱村投入20.06万元，全年开展7场次科技培训会，累计培训789人次，推广杂交玉米新品种4个，绿肥新品种1个，建立玉米示范区300亩，绿肥示范区200亩；针对“根肿病、根结线虫病"开展农作物病虫害统防统治工作二次，建立示范区500亩；在拉波洛村建设玉米绿色优质高效示范基地213亩，项目投资7万元，扶持地膜、玉米种子、肥料等物资，科技人员开展农户培训2期6场次，科技培训共计513人次，进行田间现场指导达800人次以上。以种植合作社作为项目实施和经营主体，迪庆州农科院通过积极对接项目，引导和推广中药材种植500亩，带动152户贫困户发展中药材产业；推广种植白芸豆105亩；推广青贮玉米57亩，推广青贮饲料包裹技术，带动32户贫困户发展山地肉牛养殖产业；扶持拉波洛村发展羊肚菌种植82亩，户均增收3000元，带动113户种植羊肚菌发展产业。结合产业项目实施，挂钩单位所发挥各自优势开展农业科技培训8场，共计750人次，进行科技扶贫，发放化肥、种子等各种物资10吨，做到精准帮扶。</w:t>
      </w:r>
    </w:p>
    <w:p>
      <w:pPr>
        <w:widowControl/>
        <w:snapToGrid w:val="0"/>
        <w:spacing w:line="360" w:lineRule="auto"/>
        <w:ind w:firstLine="600" w:firstLineChars="200"/>
        <w:jc w:val="left"/>
        <w:rPr>
          <w:rFonts w:hint="eastAsia" w:ascii="仿宋" w:hAnsi="仿宋" w:eastAsia="仿宋" w:cs="仿宋"/>
          <w:b w:val="0"/>
          <w:bCs w:val="0"/>
          <w:color w:val="313131"/>
          <w:kern w:val="0"/>
          <w:sz w:val="30"/>
          <w:szCs w:val="30"/>
        </w:rPr>
      </w:pPr>
      <w:r>
        <w:rPr>
          <w:rFonts w:hint="eastAsia" w:ascii="仿宋" w:hAnsi="仿宋" w:eastAsia="仿宋" w:cs="仿宋"/>
          <w:b w:val="0"/>
          <w:bCs w:val="0"/>
          <w:color w:val="313131"/>
          <w:kern w:val="0"/>
          <w:sz w:val="30"/>
          <w:szCs w:val="30"/>
        </w:rPr>
        <w:t>三是开展遍访，精准定位，落实两不愁三保障，全年截至11月10日共计走访拉波洛村和拉河柱村贫困户9次，累计下沉到村干部167人次进行贫困户动态管理，通过“三评四定”。严格按程序对拉波洛村152户478人建档立卡户进行动态管理工作，于2020年10月完成剩余4户12人脱贫销号，结对拉河柱村帮扶干部共计4人，帮扶贫困户9户，实现拉波洛村全村脱贫，遍访工作结合单位职能及项目实施方案，在农业生产关键时节进行下乡科技指导及入户走访工作。认真落实两不愁三保障工作，配合村三委及驻村工作队，开展“四美创建”“两清”等扶贫工作，累计支持贫困户价值1000元/户的生活用具。</w:t>
      </w:r>
    </w:p>
    <w:p>
      <w:pPr>
        <w:widowControl/>
        <w:snapToGrid w:val="0"/>
        <w:spacing w:before="100" w:beforeAutospacing="1" w:after="100" w:afterAutospacing="1" w:line="360" w:lineRule="auto"/>
        <w:jc w:val="left"/>
        <w:outlineLvl w:val="1"/>
        <w:rPr>
          <w:rFonts w:hint="eastAsia" w:ascii="仿宋" w:hAnsi="仿宋" w:eastAsia="仿宋" w:cs="仿宋"/>
          <w:b w:val="0"/>
          <w:bCs w:val="0"/>
          <w:color w:val="313131"/>
          <w:kern w:val="0"/>
          <w:sz w:val="30"/>
          <w:szCs w:val="30"/>
        </w:rPr>
      </w:pPr>
      <w:r>
        <w:rPr>
          <w:rFonts w:hint="eastAsia" w:ascii="仿宋" w:hAnsi="仿宋" w:eastAsia="仿宋" w:cs="仿宋"/>
          <w:b w:val="0"/>
          <w:bCs w:val="0"/>
          <w:color w:val="313131"/>
          <w:kern w:val="0"/>
          <w:sz w:val="30"/>
          <w:szCs w:val="30"/>
        </w:rPr>
        <w:t>四是在贫困地区农副产品网络销售平台采购贫困地区农副产品。</w:t>
      </w:r>
    </w:p>
    <w:p>
      <w:pPr>
        <w:widowControl/>
        <w:snapToGrid w:val="0"/>
        <w:spacing w:line="360" w:lineRule="auto"/>
        <w:ind w:firstLine="600"/>
        <w:jc w:val="left"/>
        <w:rPr>
          <w:rFonts w:hint="eastAsia" w:ascii="仿宋" w:hAnsi="仿宋" w:eastAsia="仿宋" w:cs="仿宋"/>
          <w:b w:val="0"/>
          <w:bCs w:val="0"/>
          <w:color w:val="313131"/>
          <w:kern w:val="0"/>
          <w:sz w:val="30"/>
          <w:szCs w:val="30"/>
        </w:rPr>
      </w:pPr>
      <w:r>
        <w:rPr>
          <w:rFonts w:hint="eastAsia" w:ascii="仿宋" w:hAnsi="仿宋" w:eastAsia="仿宋" w:cs="仿宋"/>
          <w:b w:val="0"/>
          <w:bCs w:val="0"/>
          <w:color w:val="313131"/>
          <w:kern w:val="0"/>
          <w:sz w:val="30"/>
          <w:szCs w:val="30"/>
        </w:rPr>
        <w:t>在挂钩单位及村两委、驻村工作队的努力下，2020年4月23日拉波洛村圆满完成脱贫攻坚省级第三方验收各项工作，得到了省级第三方验收组的高度评价。6月15日圆满完成国家级脱贫攻坚第三方验收工作。</w:t>
      </w:r>
    </w:p>
    <w:p>
      <w:pPr>
        <w:widowControl/>
        <w:snapToGrid w:val="0"/>
        <w:spacing w:line="360" w:lineRule="auto"/>
        <w:ind w:firstLine="600"/>
        <w:jc w:val="left"/>
        <w:rPr>
          <w:rFonts w:hint="eastAsia" w:ascii="仿宋" w:hAnsi="仿宋" w:eastAsia="仿宋" w:cs="仿宋"/>
          <w:b w:val="0"/>
          <w:bCs w:val="0"/>
          <w:kern w:val="0"/>
          <w:sz w:val="30"/>
          <w:szCs w:val="30"/>
        </w:rPr>
      </w:pPr>
      <w:r>
        <w:rPr>
          <w:rFonts w:hint="eastAsia" w:ascii="仿宋" w:hAnsi="仿宋" w:eastAsia="仿宋" w:cs="仿宋"/>
          <w:b w:val="0"/>
          <w:bCs w:val="0"/>
          <w:color w:val="313131"/>
          <w:kern w:val="0"/>
          <w:sz w:val="30"/>
          <w:szCs w:val="30"/>
        </w:rPr>
        <w:t>11、积</w:t>
      </w:r>
      <w:r>
        <w:rPr>
          <w:rFonts w:hint="eastAsia" w:ascii="仿宋" w:hAnsi="仿宋" w:eastAsia="仿宋" w:cs="仿宋"/>
          <w:b w:val="0"/>
          <w:bCs w:val="0"/>
          <w:kern w:val="0"/>
          <w:sz w:val="30"/>
          <w:szCs w:val="30"/>
        </w:rPr>
        <w:t>极开展</w:t>
      </w:r>
      <w:r>
        <w:rPr>
          <w:rFonts w:hint="eastAsia" w:ascii="仿宋" w:hAnsi="仿宋" w:eastAsia="仿宋" w:cs="仿宋"/>
          <w:b w:val="0"/>
          <w:bCs w:val="0"/>
          <w:color w:val="313131"/>
          <w:kern w:val="0"/>
          <w:sz w:val="30"/>
          <w:szCs w:val="30"/>
        </w:rPr>
        <w:t>扫黑除恶专项斗争</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按照《迪庆州农牧局关于印发〈迪庆州农牧局关于在全州农牧系统开展扫黑除恶专项行动的实施方案〉的通知》（迪农牧发〔2018〕67号）要求，及时成立组织开展扫黑除恶专项工作领导小组，制定“迪庆州农业科学研究院扫黑除恶专项斗争工作实施方案”，结合部门职能职责，以“科技培训”、“种子市场专项检查”、“挂包帮、转走访”等活动为契机，在乡镇、村、组广泛宣传扫黑除恶政策和涉农法律法规，倡议和引导广大农民群众积极参与到扫黑除恶专项斗争工作中来。截至目前，我院共发放宣传资料371份，张贴宣传标语23条，并按照主管局要求按时上报开展情况。</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12、综治维稳建设任务完成情况</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13、专技人员知识更新学习情况</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全院干部职工人已完成“学习强国”平台2000积分的学习任务、“法宣在线”平台3000积分的学习任务，全院参加《迪庆州国家安全知识科普考试》、《迪庆州民族政策法律法规知识考试》考试参与率100%，合格率100%。</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14、后勤保障</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1）加强财务管理，一是规范财务管理工作；二是规范财务管理，拟定了“三区”人才资金的管理办法，明确资金支持环节和比例；三是认真抓好增收节支，合理调度资金；四是按照项目实施要求，加强项目资金管理，确保各个项目的顺利实施。</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（2）规范档案工作。</w:t>
      </w:r>
    </w:p>
    <w:p>
      <w:pPr>
        <w:widowControl/>
        <w:snapToGrid w:val="0"/>
        <w:spacing w:line="360" w:lineRule="auto"/>
        <w:ind w:firstLine="600" w:firstLineChars="2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rPr>
        <w:t>（3）严格遵守保密管理规定，推进保密工作取得新成效。</w:t>
      </w:r>
    </w:p>
    <w:p>
      <w:pPr>
        <w:widowControl/>
        <w:snapToGrid w:val="0"/>
        <w:spacing w:line="360" w:lineRule="auto"/>
        <w:ind w:firstLine="600" w:firstLineChars="2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rPr>
        <w:t>（4）完成农业农村工作信息报送任务。按照“及时、准确、全面、实效”的原则,报送农业农村工作信息，截</w:t>
      </w:r>
      <w:r>
        <w:rPr>
          <w:rFonts w:hint="eastAsia" w:ascii="仿宋" w:hAnsi="仿宋" w:eastAsia="仿宋" w:cs="仿宋"/>
          <w:b w:val="0"/>
          <w:bCs w:val="0"/>
          <w:kern w:val="0"/>
          <w:sz w:val="30"/>
          <w:szCs w:val="30"/>
          <w:lang w:eastAsia="zh-CN"/>
        </w:rPr>
        <w:t>至</w:t>
      </w:r>
      <w:r>
        <w:rPr>
          <w:rFonts w:hint="eastAsia" w:ascii="仿宋" w:hAnsi="仿宋" w:eastAsia="仿宋" w:cs="仿宋"/>
          <w:b w:val="0"/>
          <w:bCs w:val="0"/>
          <w:kern w:val="0"/>
          <w:sz w:val="30"/>
          <w:szCs w:val="30"/>
        </w:rPr>
        <w:t>目前为止报送工作动态信息52期，党建信息9期。</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 xml:space="preserve">（5）创新工作方式方法，做实做细常规工作，推进全院各项工作的正常进行。 </w:t>
      </w:r>
    </w:p>
    <w:p>
      <w:pPr>
        <w:widowControl/>
        <w:snapToGrid w:val="0"/>
        <w:spacing w:after="100" w:afterAutospacing="1" w:line="360" w:lineRule="auto"/>
        <w:ind w:firstLine="900" w:firstLineChars="3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二、部门基本情况</w:t>
      </w:r>
    </w:p>
    <w:p>
      <w:pPr>
        <w:widowControl/>
        <w:snapToGrid w:val="0"/>
        <w:spacing w:after="100" w:afterAutospacing="1" w:line="360" w:lineRule="auto"/>
        <w:ind w:firstLine="6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（一）部门决算单位构成</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纳入迪庆藏族自治州农业科学研究院2020年度部门决算编报的单位共1个。其中：行政单位0个，参照公务员法管理的事业单位0个，其他事业单位1个：迪庆藏族自治州农业科学研究院。</w:t>
      </w:r>
    </w:p>
    <w:p>
      <w:pPr>
        <w:widowControl/>
        <w:snapToGrid w:val="0"/>
        <w:spacing w:after="100" w:afterAutospacing="1" w:line="360" w:lineRule="auto"/>
        <w:ind w:firstLine="6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（二）部门人员和车辆的编制及实有情况</w:t>
      </w:r>
    </w:p>
    <w:p>
      <w:pPr>
        <w:widowControl/>
        <w:snapToGrid w:val="0"/>
        <w:spacing w:after="100" w:afterAutospacing="1" w:line="360" w:lineRule="auto"/>
        <w:ind w:firstLine="600" w:firstLineChars="200"/>
        <w:rPr>
          <w:rFonts w:hint="eastAsia" w:ascii="仿宋" w:hAnsi="仿宋" w:eastAsia="仿宋" w:cs="仿宋"/>
          <w:b w:val="0"/>
          <w:bCs w:val="0"/>
          <w:color w:val="000000"/>
          <w:kern w:val="0"/>
          <w:sz w:val="30"/>
          <w:szCs w:val="30"/>
          <w:shd w:val="clear" w:color="auto" w:fill="FFFFFF"/>
        </w:rPr>
      </w:pPr>
      <w:r>
        <w:rPr>
          <w:rFonts w:hint="eastAsia" w:ascii="仿宋" w:hAnsi="仿宋" w:eastAsia="仿宋" w:cs="仿宋"/>
          <w:b w:val="0"/>
          <w:bCs w:val="0"/>
          <w:kern w:val="0"/>
          <w:sz w:val="30"/>
          <w:szCs w:val="30"/>
          <w:shd w:val="clear" w:color="auto" w:fill="FFFFFF"/>
        </w:rPr>
        <w:t>迪庆藏族自治州农业科学研究院部门2020年末实有在职人员</w:t>
      </w:r>
      <w:r>
        <w:rPr>
          <w:rFonts w:hint="eastAsia" w:ascii="仿宋" w:hAnsi="仿宋" w:eastAsia="仿宋" w:cs="仿宋"/>
          <w:b w:val="0"/>
          <w:bCs w:val="0"/>
          <w:color w:val="000000"/>
          <w:kern w:val="0"/>
          <w:sz w:val="30"/>
          <w:szCs w:val="30"/>
          <w:shd w:val="clear" w:color="auto" w:fill="FFFFFF"/>
        </w:rPr>
        <w:t>31人。其中：行政编制0人（含行政工勤编制0人），事业编制32人（含参公管理事业编制0人）；在职在编实有行政人员0人（含行政工勤人员0人），</w:t>
      </w:r>
      <w:r>
        <w:rPr>
          <w:rFonts w:hint="eastAsia" w:ascii="仿宋" w:hAnsi="仿宋" w:eastAsia="仿宋" w:cs="仿宋"/>
          <w:b w:val="0"/>
          <w:bCs w:val="0"/>
          <w:kern w:val="0"/>
          <w:sz w:val="30"/>
          <w:szCs w:val="30"/>
        </w:rPr>
        <w:t>其中在职人员3</w:t>
      </w:r>
      <w:r>
        <w:rPr>
          <w:rFonts w:hint="eastAsia" w:ascii="仿宋" w:hAnsi="仿宋" w:eastAsia="仿宋" w:cs="仿宋"/>
          <w:b w:val="0"/>
          <w:bCs w:val="0"/>
          <w:kern w:val="0"/>
          <w:sz w:val="30"/>
          <w:szCs w:val="30"/>
          <w:lang w:val="en-US" w:eastAsia="zh-CN"/>
        </w:rPr>
        <w:t>1</w:t>
      </w:r>
      <w:r>
        <w:rPr>
          <w:rFonts w:hint="eastAsia" w:ascii="仿宋" w:hAnsi="仿宋" w:eastAsia="仿宋" w:cs="仿宋"/>
          <w:b w:val="0"/>
          <w:bCs w:val="0"/>
          <w:kern w:val="0"/>
          <w:sz w:val="30"/>
          <w:szCs w:val="30"/>
        </w:rPr>
        <w:t>人，提前退休人员14人</w:t>
      </w:r>
      <w:r>
        <w:rPr>
          <w:rFonts w:hint="eastAsia" w:ascii="仿宋" w:hAnsi="仿宋" w:eastAsia="仿宋" w:cs="仿宋"/>
          <w:b w:val="0"/>
          <w:bCs w:val="0"/>
          <w:color w:val="000000"/>
          <w:kern w:val="0"/>
          <w:sz w:val="30"/>
          <w:szCs w:val="30"/>
          <w:shd w:val="clear" w:color="auto" w:fill="FFFFFF"/>
        </w:rPr>
        <w:t>。</w:t>
      </w:r>
    </w:p>
    <w:p>
      <w:pPr>
        <w:widowControl/>
        <w:snapToGrid w:val="0"/>
        <w:spacing w:after="100" w:afterAutospacing="1" w:line="360" w:lineRule="auto"/>
        <w:ind w:firstLine="600"/>
        <w:jc w:val="left"/>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shd w:val="clear" w:color="auto" w:fill="FFFFFF"/>
        </w:rPr>
        <w:t>实有车辆编制3辆，在编实有车辆3辆。</w:t>
      </w:r>
    </w:p>
    <w:p>
      <w:pPr>
        <w:widowControl/>
        <w:snapToGrid w:val="0"/>
        <w:spacing w:after="100" w:afterAutospacing="1" w:line="360" w:lineRule="auto"/>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32"/>
          <w:szCs w:val="32"/>
          <w:shd w:val="clear" w:color="auto" w:fill="FFFFFF"/>
        </w:rPr>
        <w:t>第二部分 2020年度部门决算表</w:t>
      </w:r>
    </w:p>
    <w:p>
      <w:pPr>
        <w:widowControl/>
        <w:snapToGrid w:val="0"/>
        <w:spacing w:after="100" w:afterAutospacing="1" w:line="360" w:lineRule="auto"/>
        <w:ind w:firstLine="600"/>
        <w:jc w:val="center"/>
        <w:rPr>
          <w:rFonts w:hint="eastAsia" w:ascii="仿宋" w:hAnsi="仿宋" w:eastAsia="仿宋" w:cs="仿宋"/>
          <w:b w:val="0"/>
          <w:bCs w:val="0"/>
          <w:color w:val="000000"/>
          <w:kern w:val="0"/>
          <w:sz w:val="30"/>
          <w:szCs w:val="30"/>
          <w:shd w:val="clear" w:color="auto" w:fill="FFFFFF"/>
        </w:rPr>
      </w:pPr>
      <w:r>
        <w:rPr>
          <w:rFonts w:hint="eastAsia" w:ascii="仿宋" w:hAnsi="仿宋" w:eastAsia="仿宋" w:cs="仿宋"/>
          <w:b w:val="0"/>
          <w:bCs w:val="0"/>
          <w:color w:val="000000"/>
          <w:kern w:val="0"/>
          <w:sz w:val="30"/>
          <w:szCs w:val="30"/>
          <w:shd w:val="clear" w:color="auto" w:fill="FFFFFF"/>
        </w:rPr>
        <w:t>（详见附件）</w:t>
      </w:r>
    </w:p>
    <w:p>
      <w:pPr>
        <w:widowControl/>
        <w:snapToGrid w:val="0"/>
        <w:spacing w:after="100" w:afterAutospacing="1" w:line="360" w:lineRule="auto"/>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一、收入支出决算总表</w:t>
      </w:r>
    </w:p>
    <w:p>
      <w:pPr>
        <w:widowControl/>
        <w:snapToGrid w:val="0"/>
        <w:spacing w:after="100" w:afterAutospacing="1" w:line="360" w:lineRule="auto"/>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二、收入决算表</w:t>
      </w:r>
    </w:p>
    <w:p>
      <w:pPr>
        <w:widowControl/>
        <w:snapToGrid w:val="0"/>
        <w:spacing w:after="100" w:afterAutospacing="1" w:line="360" w:lineRule="auto"/>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三、支出决算表</w:t>
      </w:r>
    </w:p>
    <w:p>
      <w:pPr>
        <w:widowControl/>
        <w:snapToGrid w:val="0"/>
        <w:spacing w:after="100" w:afterAutospacing="1" w:line="360" w:lineRule="auto"/>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四、财政拨款收入支出决算总表</w:t>
      </w:r>
    </w:p>
    <w:p>
      <w:pPr>
        <w:widowControl/>
        <w:snapToGrid w:val="0"/>
        <w:spacing w:after="100" w:afterAutospacing="1" w:line="360" w:lineRule="auto"/>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五、一般公共预算财政拨款收入支出决算表</w:t>
      </w:r>
    </w:p>
    <w:p>
      <w:pPr>
        <w:widowControl/>
        <w:snapToGrid w:val="0"/>
        <w:spacing w:after="100" w:afterAutospacing="1" w:line="360" w:lineRule="auto"/>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六、一般公共预算财政拨款基本支出决算表</w:t>
      </w:r>
    </w:p>
    <w:p>
      <w:pPr>
        <w:widowControl/>
        <w:snapToGrid w:val="0"/>
        <w:spacing w:after="100" w:afterAutospacing="1" w:line="360" w:lineRule="auto"/>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七、政府性基金预算财政拨款收入支出决算表</w:t>
      </w:r>
    </w:p>
    <w:p>
      <w:pPr>
        <w:widowControl/>
        <w:snapToGrid w:val="0"/>
        <w:spacing w:after="100" w:afterAutospacing="1" w:line="360" w:lineRule="auto"/>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八、国有资本经营预算财政拨款收入支出决算表</w:t>
      </w:r>
    </w:p>
    <w:p>
      <w:pPr>
        <w:widowControl/>
        <w:snapToGrid w:val="0"/>
        <w:spacing w:after="100" w:afterAutospacing="1" w:line="360" w:lineRule="auto"/>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九、</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30"/>
          <w:szCs w:val="30"/>
          <w:shd w:val="clear" w:color="auto" w:fill="FFFFFF"/>
        </w:rPr>
        <w:t>三公</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30"/>
          <w:szCs w:val="30"/>
          <w:shd w:val="clear" w:color="auto" w:fill="FFFFFF"/>
        </w:rPr>
        <w:t>经费、行政参公单位机关运行经费情况表</w:t>
      </w:r>
    </w:p>
    <w:p>
      <w:pPr>
        <w:widowControl/>
        <w:snapToGrid w:val="0"/>
        <w:spacing w:after="100" w:afterAutospacing="1" w:line="360" w:lineRule="auto"/>
        <w:ind w:firstLine="640" w:firstLineChars="200"/>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32"/>
          <w:szCs w:val="32"/>
          <w:shd w:val="clear" w:color="auto" w:fill="FFFFFF"/>
        </w:rPr>
        <w:t xml:space="preserve">第三部分 </w:t>
      </w:r>
      <w:r>
        <w:rPr>
          <w:rFonts w:hint="eastAsia" w:ascii="仿宋" w:hAnsi="仿宋" w:eastAsia="仿宋" w:cs="仿宋"/>
          <w:b w:val="0"/>
          <w:bCs w:val="0"/>
          <w:kern w:val="0"/>
          <w:sz w:val="32"/>
          <w:szCs w:val="32"/>
          <w:shd w:val="clear" w:color="auto" w:fill="FFFFFF"/>
          <w:lang w:val="en-US" w:eastAsia="zh-CN"/>
        </w:rPr>
        <w:t xml:space="preserve">  </w:t>
      </w:r>
      <w:r>
        <w:rPr>
          <w:rFonts w:hint="eastAsia" w:ascii="仿宋" w:hAnsi="仿宋" w:eastAsia="仿宋" w:cs="仿宋"/>
          <w:b w:val="0"/>
          <w:bCs w:val="0"/>
          <w:kern w:val="0"/>
          <w:sz w:val="32"/>
          <w:szCs w:val="32"/>
          <w:shd w:val="clear" w:color="auto" w:fill="FFFFFF"/>
        </w:rPr>
        <w:t>2020年度部门决算情况说明</w:t>
      </w:r>
    </w:p>
    <w:p>
      <w:pPr>
        <w:widowControl/>
        <w:snapToGrid w:val="0"/>
        <w:spacing w:after="100" w:afterAutospacing="1" w:line="360" w:lineRule="auto"/>
        <w:ind w:firstLine="6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一、收入决算情况说明</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shd w:val="clear" w:color="auto" w:fill="FFFFFF"/>
        </w:rPr>
        <w:t>迪庆藏族自治州农业科学研究院2020年度收入合计1761.92万元。其中：财政拨款收入1673.12万元，占总收入的94.96%；上级补助收入0.00万元，占总收入的0.00%；事业收入0.00万元，占总收入的0.00%；经营收入0.00万元，占总收入的0.00%；附属单位缴款收入0.00万元，占总收入的0.00%；其他收入88.80万元，占总收入的5.04%。</w:t>
      </w:r>
      <w:r>
        <w:rPr>
          <w:rFonts w:hint="eastAsia" w:ascii="仿宋" w:hAnsi="仿宋" w:eastAsia="仿宋" w:cs="仿宋"/>
          <w:b w:val="0"/>
          <w:bCs w:val="0"/>
          <w:kern w:val="0"/>
          <w:sz w:val="30"/>
          <w:szCs w:val="30"/>
        </w:rPr>
        <w:t>本单位</w:t>
      </w:r>
      <w:r>
        <w:rPr>
          <w:rFonts w:hint="eastAsia" w:ascii="仿宋" w:hAnsi="仿宋" w:eastAsia="仿宋" w:cs="仿宋"/>
          <w:b w:val="0"/>
          <w:bCs w:val="0"/>
          <w:kern w:val="0"/>
          <w:sz w:val="30"/>
          <w:szCs w:val="30"/>
          <w:lang w:eastAsia="zh-CN"/>
        </w:rPr>
        <w:t>为</w:t>
      </w:r>
      <w:r>
        <w:rPr>
          <w:rFonts w:hint="eastAsia" w:ascii="仿宋" w:hAnsi="仿宋" w:eastAsia="仿宋" w:cs="仿宋"/>
          <w:b w:val="0"/>
          <w:bCs w:val="0"/>
          <w:kern w:val="0"/>
          <w:sz w:val="30"/>
          <w:szCs w:val="30"/>
          <w:lang w:val="en-US" w:eastAsia="zh-CN"/>
        </w:rPr>
        <w:t>2020年度</w:t>
      </w:r>
      <w:r>
        <w:rPr>
          <w:rFonts w:hint="eastAsia" w:ascii="仿宋" w:hAnsi="仿宋" w:eastAsia="仿宋" w:cs="仿宋"/>
          <w:b w:val="0"/>
          <w:bCs w:val="0"/>
          <w:kern w:val="0"/>
          <w:sz w:val="30"/>
          <w:szCs w:val="30"/>
        </w:rPr>
        <w:t>机构改革新成立单位，无上年数。</w:t>
      </w:r>
    </w:p>
    <w:p>
      <w:pPr>
        <w:widowControl/>
        <w:snapToGrid w:val="0"/>
        <w:spacing w:after="100" w:afterAutospacing="1" w:line="360" w:lineRule="auto"/>
        <w:ind w:firstLine="6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二、支出决算情况说明</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shd w:val="clear" w:color="auto" w:fill="FFFFFF"/>
        </w:rPr>
        <w:t>迪庆藏族自治州农业科学研究院2020年度支出合计1776.82万元。其中：基本支出1397.90万元，占总支出的78.68%；项目支出378.91万元，占总支出的21.32%；上缴上级支出、经营支出、对附属单位补助支出共0.00万元，占总支出的0.00%。</w:t>
      </w:r>
      <w:r>
        <w:rPr>
          <w:rFonts w:hint="eastAsia" w:ascii="仿宋" w:hAnsi="仿宋" w:eastAsia="仿宋" w:cs="仿宋"/>
          <w:b w:val="0"/>
          <w:bCs w:val="0"/>
          <w:kern w:val="0"/>
          <w:sz w:val="30"/>
          <w:szCs w:val="30"/>
        </w:rPr>
        <w:t>本单位</w:t>
      </w:r>
      <w:r>
        <w:rPr>
          <w:rFonts w:hint="eastAsia" w:ascii="仿宋" w:hAnsi="仿宋" w:eastAsia="仿宋" w:cs="仿宋"/>
          <w:b w:val="0"/>
          <w:bCs w:val="0"/>
          <w:kern w:val="0"/>
          <w:sz w:val="30"/>
          <w:szCs w:val="30"/>
          <w:lang w:eastAsia="zh-CN"/>
        </w:rPr>
        <w:t>为</w:t>
      </w:r>
      <w:r>
        <w:rPr>
          <w:rFonts w:hint="eastAsia" w:ascii="仿宋" w:hAnsi="仿宋" w:eastAsia="仿宋" w:cs="仿宋"/>
          <w:b w:val="0"/>
          <w:bCs w:val="0"/>
          <w:kern w:val="0"/>
          <w:sz w:val="30"/>
          <w:szCs w:val="30"/>
          <w:lang w:val="en-US" w:eastAsia="zh-CN"/>
        </w:rPr>
        <w:t>2020年度</w:t>
      </w:r>
      <w:r>
        <w:rPr>
          <w:rFonts w:hint="eastAsia" w:ascii="仿宋" w:hAnsi="仿宋" w:eastAsia="仿宋" w:cs="仿宋"/>
          <w:b w:val="0"/>
          <w:bCs w:val="0"/>
          <w:kern w:val="0"/>
          <w:sz w:val="30"/>
          <w:szCs w:val="30"/>
        </w:rPr>
        <w:t>机构改革新成立单位，无上年数。</w:t>
      </w:r>
    </w:p>
    <w:p>
      <w:pPr>
        <w:widowControl/>
        <w:snapToGrid w:val="0"/>
        <w:spacing w:line="360" w:lineRule="auto"/>
        <w:ind w:firstLine="600" w:firstLineChars="200"/>
        <w:jc w:val="left"/>
        <w:rPr>
          <w:rFonts w:hint="eastAsia" w:ascii="仿宋" w:hAnsi="仿宋" w:eastAsia="仿宋" w:cs="仿宋"/>
          <w:b w:val="0"/>
          <w:bCs w:val="0"/>
          <w:kern w:val="0"/>
          <w:sz w:val="30"/>
          <w:szCs w:val="30"/>
        </w:rPr>
      </w:pPr>
    </w:p>
    <w:p>
      <w:pPr>
        <w:widowControl/>
        <w:snapToGrid w:val="0"/>
        <w:spacing w:after="100" w:afterAutospacing="1" w:line="360" w:lineRule="auto"/>
        <w:ind w:firstLine="6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（一）基本支出情况</w:t>
      </w:r>
    </w:p>
    <w:p>
      <w:pPr>
        <w:widowControl/>
        <w:snapToGrid w:val="0"/>
        <w:spacing w:after="100" w:afterAutospacing="1" w:line="360" w:lineRule="auto"/>
        <w:ind w:firstLine="6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2020年度用于保障迪庆藏族自治州农业科学研究院机构正常运转的人员、日常支出1397.90万元。包括基本工资、津贴补贴等人员经费支出1334.48万元，占基本支出的95.46%。办公费、印刷费、水电费、办公设备购置等公用经费63.45万元，占基本支出的4.54%</w:t>
      </w:r>
      <w:r>
        <w:rPr>
          <w:rFonts w:hint="eastAsia" w:ascii="仿宋" w:hAnsi="仿宋" w:eastAsia="仿宋" w:cs="仿宋"/>
          <w:b w:val="0"/>
          <w:bCs w:val="0"/>
          <w:color w:val="000000"/>
          <w:kern w:val="0"/>
          <w:sz w:val="30"/>
          <w:szCs w:val="30"/>
          <w:shd w:val="clear" w:color="auto" w:fill="FFFFFF"/>
        </w:rPr>
        <w:t>。</w:t>
      </w:r>
    </w:p>
    <w:p>
      <w:pPr>
        <w:widowControl/>
        <w:snapToGrid w:val="0"/>
        <w:spacing w:after="100" w:afterAutospacing="1" w:line="360" w:lineRule="auto"/>
        <w:ind w:firstLine="6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（二）项目支出情况</w:t>
      </w:r>
    </w:p>
    <w:p>
      <w:pPr>
        <w:widowControl/>
        <w:snapToGrid w:val="0"/>
        <w:spacing w:line="360" w:lineRule="auto"/>
        <w:ind w:firstLine="64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shd w:val="clear" w:color="auto" w:fill="FFFFFF"/>
        </w:rPr>
        <w:t>2020年度用于迪庆藏族自治州</w:t>
      </w:r>
      <w:r>
        <w:rPr>
          <w:rFonts w:hint="eastAsia" w:ascii="仿宋" w:hAnsi="仿宋" w:eastAsia="仿宋" w:cs="仿宋"/>
          <w:b w:val="0"/>
          <w:bCs w:val="0"/>
          <w:kern w:val="0"/>
          <w:sz w:val="30"/>
          <w:szCs w:val="30"/>
        </w:rPr>
        <w:t>农作物新品种、新技术试验示范及推广应用，加大农业提质增效项目实施，搞好种子、化肥、农药行业管理，提升行业服务能力和服务质量，为我州农业又好又快发展提供强有力的技术支持等方面的</w:t>
      </w:r>
      <w:r>
        <w:rPr>
          <w:rFonts w:hint="eastAsia" w:ascii="仿宋" w:hAnsi="仿宋" w:eastAsia="仿宋" w:cs="仿宋"/>
          <w:b w:val="0"/>
          <w:bCs w:val="0"/>
          <w:kern w:val="0"/>
          <w:sz w:val="30"/>
          <w:szCs w:val="30"/>
          <w:lang w:eastAsia="zh-CN"/>
        </w:rPr>
        <w:t>财政拨款</w:t>
      </w:r>
      <w:r>
        <w:rPr>
          <w:rFonts w:hint="eastAsia" w:ascii="仿宋" w:hAnsi="仿宋" w:eastAsia="仿宋" w:cs="仿宋"/>
          <w:b w:val="0"/>
          <w:bCs w:val="0"/>
          <w:kern w:val="0"/>
          <w:sz w:val="30"/>
          <w:szCs w:val="30"/>
        </w:rPr>
        <w:t>项目</w:t>
      </w:r>
      <w:r>
        <w:rPr>
          <w:rFonts w:hint="eastAsia" w:ascii="仿宋" w:hAnsi="仿宋" w:eastAsia="仿宋" w:cs="仿宋"/>
          <w:b w:val="0"/>
          <w:bCs w:val="0"/>
          <w:kern w:val="0"/>
          <w:sz w:val="30"/>
          <w:szCs w:val="30"/>
          <w:lang w:eastAsia="zh-CN"/>
        </w:rPr>
        <w:t>经费收入</w:t>
      </w:r>
      <w:r>
        <w:rPr>
          <w:rFonts w:hint="eastAsia" w:ascii="仿宋" w:hAnsi="仿宋" w:eastAsia="仿宋" w:cs="仿宋"/>
          <w:b w:val="0"/>
          <w:bCs w:val="0"/>
          <w:kern w:val="0"/>
          <w:sz w:val="30"/>
          <w:szCs w:val="30"/>
          <w:lang w:val="en-US" w:eastAsia="zh-CN"/>
        </w:rPr>
        <w:t>278.80</w:t>
      </w:r>
      <w:r>
        <w:rPr>
          <w:rFonts w:hint="eastAsia" w:ascii="仿宋" w:hAnsi="仿宋" w:eastAsia="仿宋" w:cs="仿宋"/>
          <w:b w:val="0"/>
          <w:bCs w:val="0"/>
          <w:kern w:val="0"/>
          <w:sz w:val="30"/>
          <w:szCs w:val="30"/>
          <w:shd w:val="clear" w:color="auto" w:fill="FFFFFF"/>
        </w:rPr>
        <w:t>万元</w:t>
      </w:r>
      <w:r>
        <w:rPr>
          <w:rFonts w:hint="eastAsia" w:ascii="仿宋" w:hAnsi="仿宋" w:eastAsia="仿宋" w:cs="仿宋"/>
          <w:b w:val="0"/>
          <w:bCs w:val="0"/>
          <w:kern w:val="0"/>
          <w:sz w:val="30"/>
          <w:szCs w:val="30"/>
          <w:shd w:val="clear" w:color="auto" w:fill="FFFFFF"/>
          <w:lang w:eastAsia="zh-CN"/>
        </w:rPr>
        <w:t>，支出</w:t>
      </w:r>
      <w:r>
        <w:rPr>
          <w:rFonts w:hint="eastAsia" w:ascii="仿宋" w:hAnsi="仿宋" w:eastAsia="仿宋" w:cs="仿宋"/>
          <w:b w:val="0"/>
          <w:bCs w:val="0"/>
          <w:kern w:val="0"/>
          <w:sz w:val="30"/>
          <w:szCs w:val="30"/>
          <w:shd w:val="clear" w:color="auto" w:fill="FFFFFF"/>
          <w:lang w:val="en-US" w:eastAsia="zh-CN"/>
        </w:rPr>
        <w:t>202.04</w:t>
      </w:r>
      <w:r>
        <w:rPr>
          <w:rFonts w:hint="eastAsia" w:ascii="仿宋" w:hAnsi="仿宋" w:eastAsia="仿宋" w:cs="仿宋"/>
          <w:b w:val="0"/>
          <w:bCs w:val="0"/>
          <w:kern w:val="0"/>
          <w:sz w:val="30"/>
          <w:szCs w:val="30"/>
          <w:shd w:val="clear" w:color="auto" w:fill="FFFFFF"/>
          <w:lang w:eastAsia="zh-CN"/>
        </w:rPr>
        <w:t>万元（不包括</w:t>
      </w:r>
      <w:r>
        <w:rPr>
          <w:rFonts w:hint="eastAsia" w:ascii="仿宋" w:hAnsi="仿宋" w:eastAsia="仿宋" w:cs="仿宋"/>
          <w:b w:val="0"/>
          <w:bCs w:val="0"/>
          <w:kern w:val="0"/>
          <w:sz w:val="30"/>
          <w:szCs w:val="30"/>
          <w:shd w:val="clear" w:color="auto" w:fill="FFFFFF"/>
          <w:lang w:val="en-US" w:eastAsia="zh-CN"/>
        </w:rPr>
        <w:t>2019年度</w:t>
      </w:r>
      <w:r>
        <w:rPr>
          <w:rFonts w:hint="eastAsia" w:ascii="仿宋" w:hAnsi="仿宋" w:eastAsia="仿宋" w:cs="仿宋"/>
          <w:b w:val="0"/>
          <w:bCs w:val="0"/>
          <w:kern w:val="0"/>
          <w:sz w:val="30"/>
          <w:szCs w:val="30"/>
          <w:shd w:val="clear" w:color="auto" w:fill="FFFFFF"/>
          <w:lang w:eastAsia="zh-CN"/>
        </w:rPr>
        <w:t>结余及</w:t>
      </w:r>
      <w:r>
        <w:rPr>
          <w:rFonts w:hint="eastAsia" w:ascii="仿宋" w:hAnsi="仿宋" w:eastAsia="仿宋" w:cs="仿宋"/>
          <w:b w:val="0"/>
          <w:bCs w:val="0"/>
          <w:kern w:val="0"/>
          <w:sz w:val="30"/>
          <w:szCs w:val="30"/>
          <w:shd w:val="clear" w:color="auto" w:fill="FFFFFF"/>
          <w:lang w:val="en-US" w:eastAsia="zh-CN"/>
        </w:rPr>
        <w:t>事业经费项目收支</w:t>
      </w:r>
      <w:r>
        <w:rPr>
          <w:rFonts w:hint="eastAsia" w:ascii="仿宋" w:hAnsi="仿宋" w:eastAsia="仿宋" w:cs="仿宋"/>
          <w:b w:val="0"/>
          <w:bCs w:val="0"/>
          <w:kern w:val="0"/>
          <w:sz w:val="30"/>
          <w:szCs w:val="30"/>
          <w:shd w:val="clear" w:color="auto" w:fill="FFFFFF"/>
          <w:lang w:eastAsia="zh-CN"/>
        </w:rPr>
        <w:t>）</w:t>
      </w:r>
      <w:r>
        <w:rPr>
          <w:rFonts w:hint="eastAsia" w:ascii="仿宋" w:hAnsi="仿宋" w:eastAsia="仿宋" w:cs="仿宋"/>
          <w:b w:val="0"/>
          <w:bCs w:val="0"/>
          <w:kern w:val="0"/>
          <w:sz w:val="30"/>
          <w:szCs w:val="30"/>
          <w:shd w:val="clear" w:color="auto" w:fill="FFFFFF"/>
        </w:rPr>
        <w:t>。具体项目</w:t>
      </w:r>
      <w:r>
        <w:rPr>
          <w:rFonts w:hint="eastAsia" w:ascii="仿宋" w:hAnsi="仿宋" w:eastAsia="仿宋" w:cs="仿宋"/>
          <w:b w:val="0"/>
          <w:bCs w:val="0"/>
          <w:kern w:val="0"/>
          <w:sz w:val="30"/>
          <w:szCs w:val="30"/>
          <w:shd w:val="clear" w:color="auto" w:fill="FFFFFF"/>
          <w:lang w:eastAsia="zh-CN"/>
        </w:rPr>
        <w:t>收支</w:t>
      </w:r>
      <w:r>
        <w:rPr>
          <w:rFonts w:hint="eastAsia" w:ascii="仿宋" w:hAnsi="仿宋" w:eastAsia="仿宋" w:cs="仿宋"/>
          <w:b w:val="0"/>
          <w:bCs w:val="0"/>
          <w:kern w:val="0"/>
          <w:sz w:val="30"/>
          <w:szCs w:val="30"/>
          <w:shd w:val="clear" w:color="auto" w:fill="FFFFFF"/>
        </w:rPr>
        <w:t>及开展工作情况：</w:t>
      </w:r>
    </w:p>
    <w:p>
      <w:pPr>
        <w:widowControl/>
        <w:numPr>
          <w:ilvl w:val="0"/>
          <w:numId w:val="2"/>
        </w:numPr>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迪财</w:t>
      </w:r>
      <w:r>
        <w:rPr>
          <w:rFonts w:hint="eastAsia" w:ascii="仿宋" w:hAnsi="仿宋" w:eastAsia="仿宋" w:cs="仿宋"/>
          <w:b w:val="0"/>
          <w:bCs w:val="0"/>
          <w:kern w:val="0"/>
          <w:sz w:val="30"/>
          <w:szCs w:val="30"/>
          <w:shd w:val="clear" w:color="auto" w:fill="FFFFFF"/>
          <w:lang w:eastAsia="zh-CN"/>
        </w:rPr>
        <w:t>农</w:t>
      </w:r>
      <w:r>
        <w:rPr>
          <w:rFonts w:hint="eastAsia" w:ascii="仿宋" w:hAnsi="仿宋" w:eastAsia="仿宋" w:cs="仿宋"/>
          <w:b w:val="0"/>
          <w:bCs w:val="0"/>
          <w:kern w:val="0"/>
          <w:sz w:val="30"/>
          <w:szCs w:val="30"/>
          <w:shd w:val="clear" w:color="auto" w:fill="FFFFFF"/>
        </w:rPr>
        <w:t>【202</w:t>
      </w:r>
      <w:r>
        <w:rPr>
          <w:rFonts w:hint="eastAsia" w:ascii="仿宋" w:hAnsi="仿宋" w:eastAsia="仿宋" w:cs="仿宋"/>
          <w:b w:val="0"/>
          <w:bCs w:val="0"/>
          <w:kern w:val="0"/>
          <w:sz w:val="30"/>
          <w:szCs w:val="30"/>
          <w:shd w:val="clear" w:color="auto" w:fill="FFFFFF"/>
          <w:lang w:val="en-US" w:eastAsia="zh-CN"/>
        </w:rPr>
        <w:t>0</w:t>
      </w:r>
      <w:r>
        <w:rPr>
          <w:rFonts w:hint="eastAsia" w:ascii="仿宋" w:hAnsi="仿宋" w:eastAsia="仿宋" w:cs="仿宋"/>
          <w:b w:val="0"/>
          <w:bCs w:val="0"/>
          <w:kern w:val="0"/>
          <w:sz w:val="30"/>
          <w:szCs w:val="30"/>
          <w:shd w:val="clear" w:color="auto" w:fill="FFFFFF"/>
        </w:rPr>
        <w:t>】</w:t>
      </w:r>
      <w:r>
        <w:rPr>
          <w:rFonts w:hint="eastAsia" w:ascii="仿宋" w:hAnsi="仿宋" w:eastAsia="仿宋" w:cs="仿宋"/>
          <w:b w:val="0"/>
          <w:bCs w:val="0"/>
          <w:kern w:val="0"/>
          <w:sz w:val="30"/>
          <w:szCs w:val="30"/>
          <w:shd w:val="clear" w:color="auto" w:fill="FFFFFF"/>
          <w:lang w:val="en-US" w:eastAsia="zh-CN"/>
        </w:rPr>
        <w:t>48</w:t>
      </w:r>
      <w:r>
        <w:rPr>
          <w:rFonts w:hint="eastAsia" w:ascii="仿宋" w:hAnsi="仿宋" w:eastAsia="仿宋" w:cs="仿宋"/>
          <w:b w:val="0"/>
          <w:bCs w:val="0"/>
          <w:kern w:val="0"/>
          <w:sz w:val="30"/>
          <w:szCs w:val="30"/>
          <w:shd w:val="clear" w:color="auto" w:fill="FFFFFF"/>
        </w:rPr>
        <w:t>号 2020年省级</w:t>
      </w:r>
      <w:r>
        <w:rPr>
          <w:rFonts w:hint="eastAsia" w:ascii="仿宋" w:hAnsi="仿宋" w:eastAsia="仿宋" w:cs="仿宋"/>
          <w:b w:val="0"/>
          <w:bCs w:val="0"/>
          <w:kern w:val="0"/>
          <w:sz w:val="30"/>
          <w:szCs w:val="30"/>
          <w:shd w:val="clear" w:color="auto" w:fill="FFFFFF"/>
          <w:lang w:eastAsia="zh-CN"/>
        </w:rPr>
        <w:t>农业生产</w:t>
      </w:r>
      <w:r>
        <w:rPr>
          <w:rFonts w:hint="eastAsia" w:ascii="仿宋" w:hAnsi="仿宋" w:eastAsia="仿宋" w:cs="仿宋"/>
          <w:b w:val="0"/>
          <w:bCs w:val="0"/>
          <w:kern w:val="0"/>
          <w:sz w:val="30"/>
          <w:szCs w:val="30"/>
          <w:shd w:val="clear" w:color="auto" w:fill="FFFFFF"/>
        </w:rPr>
        <w:t>专项资金</w:t>
      </w:r>
      <w:r>
        <w:rPr>
          <w:rFonts w:hint="eastAsia" w:ascii="仿宋" w:hAnsi="仿宋" w:eastAsia="仿宋" w:cs="仿宋"/>
          <w:b w:val="0"/>
          <w:bCs w:val="0"/>
          <w:kern w:val="0"/>
          <w:sz w:val="30"/>
          <w:szCs w:val="30"/>
          <w:shd w:val="clear" w:color="auto" w:fill="FFFFFF"/>
          <w:lang w:eastAsia="zh-CN"/>
        </w:rPr>
        <w:t>收入</w:t>
      </w:r>
      <w:r>
        <w:rPr>
          <w:rFonts w:hint="eastAsia" w:ascii="仿宋" w:hAnsi="仿宋" w:eastAsia="仿宋" w:cs="仿宋"/>
          <w:b w:val="0"/>
          <w:bCs w:val="0"/>
          <w:kern w:val="0"/>
          <w:sz w:val="30"/>
          <w:szCs w:val="30"/>
          <w:shd w:val="clear" w:color="auto" w:fill="FFFFFF"/>
          <w:lang w:val="en-US" w:eastAsia="zh-CN"/>
        </w:rPr>
        <w:t>95</w:t>
      </w:r>
      <w:r>
        <w:rPr>
          <w:rFonts w:hint="eastAsia" w:ascii="仿宋" w:hAnsi="仿宋" w:eastAsia="仿宋" w:cs="仿宋"/>
          <w:b w:val="0"/>
          <w:bCs w:val="0"/>
          <w:kern w:val="0"/>
          <w:sz w:val="30"/>
          <w:szCs w:val="30"/>
          <w:shd w:val="clear" w:color="auto" w:fill="FFFFFF"/>
        </w:rPr>
        <w:t>万元，</w:t>
      </w:r>
      <w:r>
        <w:rPr>
          <w:rFonts w:hint="eastAsia" w:ascii="仿宋" w:hAnsi="仿宋" w:eastAsia="仿宋" w:cs="仿宋"/>
          <w:b w:val="0"/>
          <w:bCs w:val="0"/>
          <w:kern w:val="0"/>
          <w:sz w:val="30"/>
          <w:szCs w:val="30"/>
          <w:shd w:val="clear" w:color="auto" w:fill="FFFFFF"/>
          <w:lang w:eastAsia="zh-CN"/>
        </w:rPr>
        <w:t>支出</w:t>
      </w:r>
      <w:r>
        <w:rPr>
          <w:rFonts w:hint="eastAsia" w:ascii="仿宋" w:hAnsi="仿宋" w:eastAsia="仿宋" w:cs="仿宋"/>
          <w:b w:val="0"/>
          <w:bCs w:val="0"/>
          <w:kern w:val="0"/>
          <w:sz w:val="30"/>
          <w:szCs w:val="30"/>
          <w:shd w:val="clear" w:color="auto" w:fill="FFFFFF"/>
          <w:lang w:val="en-US" w:eastAsia="zh-CN"/>
        </w:rPr>
        <w:t>95</w:t>
      </w:r>
      <w:r>
        <w:rPr>
          <w:rFonts w:hint="eastAsia" w:ascii="仿宋" w:hAnsi="仿宋" w:eastAsia="仿宋" w:cs="仿宋"/>
          <w:b w:val="0"/>
          <w:bCs w:val="0"/>
          <w:kern w:val="0"/>
          <w:sz w:val="30"/>
          <w:szCs w:val="30"/>
          <w:shd w:val="clear" w:color="auto" w:fill="FFFFFF"/>
        </w:rPr>
        <w:t>万元</w:t>
      </w:r>
      <w:r>
        <w:rPr>
          <w:rFonts w:hint="eastAsia" w:ascii="仿宋" w:hAnsi="仿宋" w:eastAsia="仿宋" w:cs="仿宋"/>
          <w:b w:val="0"/>
          <w:bCs w:val="0"/>
          <w:kern w:val="0"/>
          <w:sz w:val="30"/>
          <w:szCs w:val="30"/>
          <w:shd w:val="clear" w:color="auto" w:fill="FFFFFF"/>
          <w:lang w:eastAsia="zh-CN"/>
        </w:rPr>
        <w:t>，</w:t>
      </w:r>
      <w:r>
        <w:rPr>
          <w:rFonts w:hint="eastAsia" w:ascii="仿宋" w:hAnsi="仿宋" w:eastAsia="仿宋" w:cs="仿宋"/>
          <w:b w:val="0"/>
          <w:bCs w:val="0"/>
          <w:kern w:val="0"/>
          <w:sz w:val="30"/>
          <w:szCs w:val="30"/>
          <w:shd w:val="clear" w:color="auto" w:fill="FFFFFF"/>
          <w:lang w:val="en-US" w:eastAsia="zh-CN"/>
        </w:rPr>
        <w:t>支出</w:t>
      </w:r>
      <w:r>
        <w:rPr>
          <w:rFonts w:hint="eastAsia" w:ascii="仿宋" w:hAnsi="仿宋" w:eastAsia="仿宋" w:cs="仿宋"/>
          <w:b w:val="0"/>
          <w:bCs w:val="0"/>
          <w:kern w:val="0"/>
          <w:sz w:val="30"/>
          <w:szCs w:val="30"/>
          <w:shd w:val="clear" w:color="auto" w:fill="FFFFFF"/>
          <w:lang w:eastAsia="zh-CN"/>
        </w:rPr>
        <w:t>专项</w:t>
      </w:r>
      <w:r>
        <w:rPr>
          <w:rFonts w:hint="eastAsia" w:ascii="仿宋" w:hAnsi="仿宋" w:eastAsia="仿宋" w:cs="仿宋"/>
          <w:b w:val="0"/>
          <w:bCs w:val="0"/>
          <w:kern w:val="0"/>
          <w:sz w:val="30"/>
          <w:szCs w:val="30"/>
          <w:shd w:val="clear" w:color="auto" w:fill="FFFFFF"/>
        </w:rPr>
        <w:t>用于</w:t>
      </w:r>
      <w:r>
        <w:rPr>
          <w:rFonts w:hint="eastAsia" w:ascii="仿宋" w:hAnsi="仿宋" w:eastAsia="仿宋" w:cs="仿宋"/>
          <w:b w:val="0"/>
          <w:bCs w:val="0"/>
          <w:kern w:val="0"/>
          <w:sz w:val="30"/>
          <w:szCs w:val="30"/>
          <w:shd w:val="clear" w:color="auto" w:fill="FFFFFF"/>
          <w:lang w:eastAsia="zh-CN"/>
        </w:rPr>
        <w:t>粮食生产专项、农技推广、病虫害防治等</w:t>
      </w:r>
      <w:r>
        <w:rPr>
          <w:rFonts w:hint="eastAsia" w:ascii="仿宋" w:hAnsi="仿宋" w:eastAsia="仿宋" w:cs="仿宋"/>
          <w:b w:val="0"/>
          <w:bCs w:val="0"/>
          <w:kern w:val="0"/>
          <w:sz w:val="30"/>
          <w:szCs w:val="30"/>
          <w:shd w:val="clear" w:color="auto" w:fill="FFFFFF"/>
        </w:rPr>
        <w:t>差旅费、培训费、专用材料费等</w:t>
      </w:r>
      <w:r>
        <w:rPr>
          <w:rFonts w:hint="eastAsia" w:ascii="仿宋" w:hAnsi="仿宋" w:eastAsia="仿宋" w:cs="仿宋"/>
          <w:b w:val="0"/>
          <w:bCs w:val="0"/>
          <w:kern w:val="0"/>
          <w:sz w:val="30"/>
          <w:szCs w:val="30"/>
          <w:shd w:val="clear" w:color="auto" w:fill="FFFFFF"/>
          <w:lang w:eastAsia="zh-CN"/>
        </w:rPr>
        <w:t>支出</w:t>
      </w:r>
      <w:r>
        <w:rPr>
          <w:rFonts w:hint="eastAsia" w:ascii="仿宋" w:hAnsi="仿宋" w:eastAsia="仿宋" w:cs="仿宋"/>
          <w:b w:val="0"/>
          <w:bCs w:val="0"/>
          <w:kern w:val="0"/>
          <w:sz w:val="30"/>
          <w:szCs w:val="30"/>
          <w:shd w:val="clear" w:color="auto" w:fill="FFFFFF"/>
        </w:rPr>
        <w:t>。</w:t>
      </w:r>
    </w:p>
    <w:p>
      <w:pPr>
        <w:widowControl/>
        <w:numPr>
          <w:ilvl w:val="0"/>
          <w:numId w:val="2"/>
        </w:numPr>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迪财农【2020】</w:t>
      </w:r>
      <w:r>
        <w:rPr>
          <w:rFonts w:hint="eastAsia" w:ascii="仿宋" w:hAnsi="仿宋" w:eastAsia="仿宋" w:cs="仿宋"/>
          <w:b w:val="0"/>
          <w:bCs w:val="0"/>
          <w:kern w:val="0"/>
          <w:sz w:val="30"/>
          <w:szCs w:val="30"/>
          <w:shd w:val="clear" w:color="auto" w:fill="FFFFFF"/>
          <w:lang w:val="en-US" w:eastAsia="zh-CN"/>
        </w:rPr>
        <w:t>5</w:t>
      </w:r>
      <w:r>
        <w:rPr>
          <w:rFonts w:hint="eastAsia" w:ascii="仿宋" w:hAnsi="仿宋" w:eastAsia="仿宋" w:cs="仿宋"/>
          <w:b w:val="0"/>
          <w:bCs w:val="0"/>
          <w:kern w:val="0"/>
          <w:sz w:val="30"/>
          <w:szCs w:val="30"/>
          <w:shd w:val="clear" w:color="auto" w:fill="FFFFFF"/>
        </w:rPr>
        <w:t>9号2020年</w:t>
      </w:r>
      <w:r>
        <w:rPr>
          <w:rFonts w:hint="eastAsia" w:ascii="仿宋" w:hAnsi="仿宋" w:eastAsia="仿宋" w:cs="仿宋"/>
          <w:b w:val="0"/>
          <w:bCs w:val="0"/>
          <w:kern w:val="0"/>
          <w:sz w:val="30"/>
          <w:szCs w:val="30"/>
          <w:shd w:val="clear" w:color="auto" w:fill="FFFFFF"/>
          <w:lang w:eastAsia="zh-CN"/>
        </w:rPr>
        <w:t>州</w:t>
      </w:r>
      <w:r>
        <w:rPr>
          <w:rFonts w:hint="eastAsia" w:ascii="仿宋" w:hAnsi="仿宋" w:eastAsia="仿宋" w:cs="仿宋"/>
          <w:b w:val="0"/>
          <w:bCs w:val="0"/>
          <w:kern w:val="0"/>
          <w:sz w:val="30"/>
          <w:szCs w:val="30"/>
          <w:shd w:val="clear" w:color="auto" w:fill="FFFFFF"/>
        </w:rPr>
        <w:t>级</w:t>
      </w:r>
      <w:r>
        <w:rPr>
          <w:rFonts w:hint="eastAsia" w:ascii="仿宋" w:hAnsi="仿宋" w:eastAsia="仿宋" w:cs="仿宋"/>
          <w:b w:val="0"/>
          <w:bCs w:val="0"/>
          <w:kern w:val="0"/>
          <w:sz w:val="30"/>
          <w:szCs w:val="30"/>
          <w:shd w:val="clear" w:color="auto" w:fill="FFFFFF"/>
          <w:lang w:eastAsia="zh-CN"/>
        </w:rPr>
        <w:t>农业生产</w:t>
      </w:r>
      <w:r>
        <w:rPr>
          <w:rFonts w:hint="eastAsia" w:ascii="仿宋" w:hAnsi="仿宋" w:eastAsia="仿宋" w:cs="仿宋"/>
          <w:b w:val="0"/>
          <w:bCs w:val="0"/>
          <w:kern w:val="0"/>
          <w:sz w:val="30"/>
          <w:szCs w:val="30"/>
          <w:shd w:val="clear" w:color="auto" w:fill="FFFFFF"/>
        </w:rPr>
        <w:t>专项资金</w:t>
      </w:r>
      <w:r>
        <w:rPr>
          <w:rFonts w:hint="eastAsia" w:ascii="仿宋" w:hAnsi="仿宋" w:eastAsia="仿宋" w:cs="仿宋"/>
          <w:b w:val="0"/>
          <w:bCs w:val="0"/>
          <w:kern w:val="0"/>
          <w:sz w:val="30"/>
          <w:szCs w:val="30"/>
          <w:shd w:val="clear" w:color="auto" w:fill="FFFFFF"/>
          <w:lang w:eastAsia="zh-CN"/>
        </w:rPr>
        <w:t>收入</w:t>
      </w:r>
      <w:r>
        <w:rPr>
          <w:rFonts w:hint="eastAsia" w:ascii="仿宋" w:hAnsi="仿宋" w:eastAsia="仿宋" w:cs="仿宋"/>
          <w:b w:val="0"/>
          <w:bCs w:val="0"/>
          <w:kern w:val="0"/>
          <w:sz w:val="30"/>
          <w:szCs w:val="30"/>
          <w:shd w:val="clear" w:color="auto" w:fill="FFFFFF"/>
          <w:lang w:val="en-US" w:eastAsia="zh-CN"/>
        </w:rPr>
        <w:t>109</w:t>
      </w:r>
      <w:r>
        <w:rPr>
          <w:rFonts w:hint="eastAsia" w:ascii="仿宋" w:hAnsi="仿宋" w:eastAsia="仿宋" w:cs="仿宋"/>
          <w:b w:val="0"/>
          <w:bCs w:val="0"/>
          <w:kern w:val="0"/>
          <w:sz w:val="30"/>
          <w:szCs w:val="30"/>
          <w:shd w:val="clear" w:color="auto" w:fill="FFFFFF"/>
        </w:rPr>
        <w:t>万元，</w:t>
      </w:r>
      <w:r>
        <w:rPr>
          <w:rFonts w:hint="eastAsia" w:ascii="仿宋" w:hAnsi="仿宋" w:eastAsia="仿宋" w:cs="仿宋"/>
          <w:b w:val="0"/>
          <w:bCs w:val="0"/>
          <w:kern w:val="0"/>
          <w:sz w:val="30"/>
          <w:szCs w:val="30"/>
          <w:shd w:val="clear" w:color="auto" w:fill="FFFFFF"/>
          <w:lang w:eastAsia="zh-CN"/>
        </w:rPr>
        <w:t>支出</w:t>
      </w:r>
      <w:r>
        <w:rPr>
          <w:rFonts w:hint="eastAsia" w:ascii="仿宋" w:hAnsi="仿宋" w:eastAsia="仿宋" w:cs="仿宋"/>
          <w:b w:val="0"/>
          <w:bCs w:val="0"/>
          <w:kern w:val="0"/>
          <w:sz w:val="30"/>
          <w:szCs w:val="30"/>
          <w:shd w:val="clear" w:color="auto" w:fill="FFFFFF"/>
          <w:lang w:val="en-US" w:eastAsia="zh-CN"/>
        </w:rPr>
        <w:t>98.78</w:t>
      </w:r>
      <w:r>
        <w:rPr>
          <w:rFonts w:hint="eastAsia" w:ascii="仿宋" w:hAnsi="仿宋" w:eastAsia="仿宋" w:cs="仿宋"/>
          <w:b w:val="0"/>
          <w:bCs w:val="0"/>
          <w:kern w:val="0"/>
          <w:sz w:val="30"/>
          <w:szCs w:val="30"/>
          <w:shd w:val="clear" w:color="auto" w:fill="FFFFFF"/>
        </w:rPr>
        <w:t>万元</w:t>
      </w:r>
      <w:r>
        <w:rPr>
          <w:rFonts w:hint="eastAsia" w:ascii="仿宋" w:hAnsi="仿宋" w:eastAsia="仿宋" w:cs="仿宋"/>
          <w:b w:val="0"/>
          <w:bCs w:val="0"/>
          <w:kern w:val="0"/>
          <w:sz w:val="30"/>
          <w:szCs w:val="30"/>
          <w:shd w:val="clear" w:color="auto" w:fill="FFFFFF"/>
          <w:lang w:eastAsia="zh-CN"/>
        </w:rPr>
        <w:t>，结余</w:t>
      </w:r>
      <w:r>
        <w:rPr>
          <w:rFonts w:hint="eastAsia" w:ascii="仿宋" w:hAnsi="仿宋" w:eastAsia="仿宋" w:cs="仿宋"/>
          <w:b w:val="0"/>
          <w:bCs w:val="0"/>
          <w:kern w:val="0"/>
          <w:sz w:val="30"/>
          <w:szCs w:val="30"/>
          <w:shd w:val="clear" w:color="auto" w:fill="FFFFFF"/>
          <w:lang w:val="en-US" w:eastAsia="zh-CN"/>
        </w:rPr>
        <w:t>10.22万元，</w:t>
      </w:r>
      <w:r>
        <w:rPr>
          <w:rFonts w:hint="eastAsia" w:ascii="仿宋" w:hAnsi="仿宋" w:eastAsia="仿宋" w:cs="仿宋"/>
          <w:b w:val="0"/>
          <w:bCs w:val="0"/>
          <w:kern w:val="0"/>
          <w:sz w:val="30"/>
          <w:szCs w:val="30"/>
          <w:shd w:val="clear" w:color="auto" w:fill="FFFFFF"/>
          <w:lang w:eastAsia="zh-CN"/>
        </w:rPr>
        <w:t>支出专项</w:t>
      </w:r>
      <w:r>
        <w:rPr>
          <w:rFonts w:hint="eastAsia" w:ascii="仿宋" w:hAnsi="仿宋" w:eastAsia="仿宋" w:cs="仿宋"/>
          <w:b w:val="0"/>
          <w:bCs w:val="0"/>
          <w:kern w:val="0"/>
          <w:sz w:val="30"/>
          <w:szCs w:val="30"/>
          <w:shd w:val="clear" w:color="auto" w:fill="FFFFFF"/>
        </w:rPr>
        <w:t>用于</w:t>
      </w:r>
      <w:r>
        <w:rPr>
          <w:rFonts w:hint="eastAsia" w:ascii="仿宋" w:hAnsi="仿宋" w:eastAsia="仿宋" w:cs="仿宋"/>
          <w:b w:val="0"/>
          <w:bCs w:val="0"/>
          <w:kern w:val="0"/>
          <w:sz w:val="30"/>
          <w:szCs w:val="30"/>
          <w:shd w:val="clear" w:color="auto" w:fill="FFFFFF"/>
          <w:lang w:eastAsia="zh-CN"/>
        </w:rPr>
        <w:t>粮食生产专项、农业基础科研、农技推广等</w:t>
      </w:r>
      <w:r>
        <w:rPr>
          <w:rFonts w:hint="eastAsia" w:ascii="仿宋" w:hAnsi="仿宋" w:eastAsia="仿宋" w:cs="仿宋"/>
          <w:b w:val="0"/>
          <w:bCs w:val="0"/>
          <w:kern w:val="0"/>
          <w:sz w:val="30"/>
          <w:szCs w:val="30"/>
          <w:shd w:val="clear" w:color="auto" w:fill="FFFFFF"/>
        </w:rPr>
        <w:t>差旅费、培训费、专用材料费等</w:t>
      </w:r>
      <w:r>
        <w:rPr>
          <w:rFonts w:hint="eastAsia" w:ascii="仿宋" w:hAnsi="仿宋" w:eastAsia="仿宋" w:cs="仿宋"/>
          <w:b w:val="0"/>
          <w:bCs w:val="0"/>
          <w:kern w:val="0"/>
          <w:sz w:val="30"/>
          <w:szCs w:val="30"/>
          <w:shd w:val="clear" w:color="auto" w:fill="FFFFFF"/>
          <w:lang w:eastAsia="zh-CN"/>
        </w:rPr>
        <w:t>支出</w:t>
      </w:r>
      <w:r>
        <w:rPr>
          <w:rFonts w:hint="eastAsia" w:ascii="仿宋" w:hAnsi="仿宋" w:eastAsia="仿宋" w:cs="仿宋"/>
          <w:b w:val="0"/>
          <w:bCs w:val="0"/>
          <w:kern w:val="0"/>
          <w:sz w:val="30"/>
          <w:szCs w:val="30"/>
          <w:shd w:val="clear" w:color="auto" w:fill="FFFFFF"/>
        </w:rPr>
        <w:t>。</w:t>
      </w:r>
    </w:p>
    <w:p>
      <w:pPr>
        <w:widowControl/>
        <w:numPr>
          <w:ilvl w:val="0"/>
          <w:numId w:val="2"/>
        </w:numPr>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迪财</w:t>
      </w:r>
      <w:r>
        <w:rPr>
          <w:rFonts w:hint="eastAsia" w:ascii="仿宋" w:hAnsi="仿宋" w:eastAsia="仿宋" w:cs="仿宋"/>
          <w:b w:val="0"/>
          <w:bCs w:val="0"/>
          <w:kern w:val="0"/>
          <w:sz w:val="30"/>
          <w:szCs w:val="30"/>
          <w:shd w:val="clear" w:color="auto" w:fill="FFFFFF"/>
          <w:lang w:eastAsia="zh-CN"/>
        </w:rPr>
        <w:t>教</w:t>
      </w:r>
      <w:r>
        <w:rPr>
          <w:rFonts w:hint="eastAsia" w:ascii="仿宋" w:hAnsi="仿宋" w:eastAsia="仿宋" w:cs="仿宋"/>
          <w:b w:val="0"/>
          <w:bCs w:val="0"/>
          <w:kern w:val="0"/>
          <w:sz w:val="30"/>
          <w:szCs w:val="30"/>
          <w:shd w:val="clear" w:color="auto" w:fill="FFFFFF"/>
        </w:rPr>
        <w:t>【2020】</w:t>
      </w:r>
      <w:r>
        <w:rPr>
          <w:rFonts w:hint="eastAsia" w:ascii="仿宋" w:hAnsi="仿宋" w:eastAsia="仿宋" w:cs="仿宋"/>
          <w:b w:val="0"/>
          <w:bCs w:val="0"/>
          <w:kern w:val="0"/>
          <w:sz w:val="30"/>
          <w:szCs w:val="30"/>
          <w:shd w:val="clear" w:color="auto" w:fill="FFFFFF"/>
          <w:lang w:val="en-US" w:eastAsia="zh-CN"/>
        </w:rPr>
        <w:t>80</w:t>
      </w:r>
      <w:r>
        <w:rPr>
          <w:rFonts w:hint="eastAsia" w:ascii="仿宋" w:hAnsi="仿宋" w:eastAsia="仿宋" w:cs="仿宋"/>
          <w:b w:val="0"/>
          <w:bCs w:val="0"/>
          <w:kern w:val="0"/>
          <w:sz w:val="30"/>
          <w:szCs w:val="30"/>
          <w:shd w:val="clear" w:color="auto" w:fill="FFFFFF"/>
        </w:rPr>
        <w:t>号中央三区人才专项补助</w:t>
      </w:r>
      <w:r>
        <w:rPr>
          <w:rFonts w:hint="eastAsia" w:ascii="仿宋" w:hAnsi="仿宋" w:eastAsia="仿宋" w:cs="仿宋"/>
          <w:b w:val="0"/>
          <w:bCs w:val="0"/>
          <w:kern w:val="0"/>
          <w:sz w:val="30"/>
          <w:szCs w:val="30"/>
          <w:shd w:val="clear" w:color="auto" w:fill="FFFFFF"/>
          <w:lang w:eastAsia="zh-CN"/>
        </w:rPr>
        <w:t>收入</w:t>
      </w:r>
      <w:r>
        <w:rPr>
          <w:rFonts w:hint="eastAsia" w:ascii="仿宋" w:hAnsi="仿宋" w:eastAsia="仿宋" w:cs="仿宋"/>
          <w:b w:val="0"/>
          <w:bCs w:val="0"/>
          <w:kern w:val="0"/>
          <w:sz w:val="30"/>
          <w:szCs w:val="30"/>
          <w:shd w:val="clear" w:color="auto" w:fill="FFFFFF"/>
          <w:lang w:val="en-US" w:eastAsia="zh-CN"/>
        </w:rPr>
        <w:t>46万元</w:t>
      </w:r>
      <w:r>
        <w:rPr>
          <w:rFonts w:hint="eastAsia" w:ascii="仿宋" w:hAnsi="仿宋" w:eastAsia="仿宋" w:cs="仿宋"/>
          <w:b w:val="0"/>
          <w:bCs w:val="0"/>
          <w:kern w:val="0"/>
          <w:sz w:val="30"/>
          <w:szCs w:val="30"/>
          <w:shd w:val="clear" w:color="auto" w:fill="FFFFFF"/>
          <w:lang w:eastAsia="zh-CN"/>
        </w:rPr>
        <w:t>，支出</w:t>
      </w:r>
      <w:r>
        <w:rPr>
          <w:rFonts w:hint="eastAsia" w:ascii="仿宋" w:hAnsi="仿宋" w:eastAsia="仿宋" w:cs="仿宋"/>
          <w:b w:val="0"/>
          <w:bCs w:val="0"/>
          <w:kern w:val="0"/>
          <w:sz w:val="30"/>
          <w:szCs w:val="30"/>
          <w:shd w:val="clear" w:color="auto" w:fill="FFFFFF"/>
          <w:lang w:val="en-US" w:eastAsia="zh-CN"/>
        </w:rPr>
        <w:t>0.34</w:t>
      </w:r>
      <w:r>
        <w:rPr>
          <w:rFonts w:hint="eastAsia" w:ascii="仿宋" w:hAnsi="仿宋" w:eastAsia="仿宋" w:cs="仿宋"/>
          <w:b w:val="0"/>
          <w:bCs w:val="0"/>
          <w:kern w:val="0"/>
          <w:sz w:val="30"/>
          <w:szCs w:val="30"/>
          <w:shd w:val="clear" w:color="auto" w:fill="FFFFFF"/>
        </w:rPr>
        <w:t>万元</w:t>
      </w:r>
      <w:r>
        <w:rPr>
          <w:rFonts w:hint="eastAsia" w:ascii="仿宋" w:hAnsi="仿宋" w:eastAsia="仿宋" w:cs="仿宋"/>
          <w:b w:val="0"/>
          <w:bCs w:val="0"/>
          <w:kern w:val="0"/>
          <w:sz w:val="30"/>
          <w:szCs w:val="30"/>
          <w:shd w:val="clear" w:color="auto" w:fill="FFFFFF"/>
          <w:lang w:eastAsia="zh-CN"/>
        </w:rPr>
        <w:t>，结余</w:t>
      </w:r>
      <w:r>
        <w:rPr>
          <w:rFonts w:hint="eastAsia" w:ascii="仿宋" w:hAnsi="仿宋" w:eastAsia="仿宋" w:cs="仿宋"/>
          <w:b w:val="0"/>
          <w:bCs w:val="0"/>
          <w:kern w:val="0"/>
          <w:sz w:val="30"/>
          <w:szCs w:val="30"/>
          <w:shd w:val="clear" w:color="auto" w:fill="FFFFFF"/>
          <w:lang w:val="en-US" w:eastAsia="zh-CN"/>
        </w:rPr>
        <w:t>45.66万元，支出</w:t>
      </w:r>
      <w:r>
        <w:rPr>
          <w:rFonts w:hint="eastAsia" w:ascii="仿宋" w:hAnsi="仿宋" w:eastAsia="仿宋" w:cs="仿宋"/>
          <w:b w:val="0"/>
          <w:bCs w:val="0"/>
          <w:kern w:val="0"/>
          <w:sz w:val="30"/>
          <w:szCs w:val="30"/>
          <w:shd w:val="clear" w:color="auto" w:fill="FFFFFF"/>
          <w:lang w:eastAsia="zh-CN"/>
        </w:rPr>
        <w:t>专项用于三区科技人员服务产生的</w:t>
      </w:r>
      <w:r>
        <w:rPr>
          <w:rFonts w:hint="eastAsia" w:ascii="仿宋" w:hAnsi="仿宋" w:eastAsia="仿宋" w:cs="仿宋"/>
          <w:b w:val="0"/>
          <w:bCs w:val="0"/>
          <w:kern w:val="0"/>
          <w:sz w:val="30"/>
          <w:szCs w:val="30"/>
          <w:shd w:val="clear" w:color="auto" w:fill="FFFFFF"/>
        </w:rPr>
        <w:t>差旅费、专用材料费、</w:t>
      </w:r>
      <w:r>
        <w:rPr>
          <w:rFonts w:hint="eastAsia" w:ascii="仿宋" w:hAnsi="仿宋" w:eastAsia="仿宋" w:cs="仿宋"/>
          <w:b w:val="0"/>
          <w:bCs w:val="0"/>
          <w:kern w:val="0"/>
          <w:sz w:val="30"/>
          <w:szCs w:val="30"/>
          <w:shd w:val="clear" w:color="auto" w:fill="FFFFFF"/>
          <w:lang w:eastAsia="zh-CN"/>
        </w:rPr>
        <w:t>培训</w:t>
      </w:r>
      <w:r>
        <w:rPr>
          <w:rFonts w:hint="eastAsia" w:ascii="仿宋" w:hAnsi="仿宋" w:eastAsia="仿宋" w:cs="仿宋"/>
          <w:b w:val="0"/>
          <w:bCs w:val="0"/>
          <w:kern w:val="0"/>
          <w:sz w:val="30"/>
          <w:szCs w:val="30"/>
          <w:shd w:val="clear" w:color="auto" w:fill="FFFFFF"/>
        </w:rPr>
        <w:t>费等。</w:t>
      </w:r>
    </w:p>
    <w:p>
      <w:pPr>
        <w:widowControl/>
        <w:numPr>
          <w:ilvl w:val="0"/>
          <w:numId w:val="2"/>
        </w:numPr>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迪财</w:t>
      </w:r>
      <w:r>
        <w:rPr>
          <w:rFonts w:hint="eastAsia" w:ascii="仿宋" w:hAnsi="仿宋" w:eastAsia="仿宋" w:cs="仿宋"/>
          <w:b w:val="0"/>
          <w:bCs w:val="0"/>
          <w:kern w:val="0"/>
          <w:sz w:val="30"/>
          <w:szCs w:val="30"/>
          <w:shd w:val="clear" w:color="auto" w:fill="FFFFFF"/>
          <w:lang w:eastAsia="zh-CN"/>
        </w:rPr>
        <w:t>教</w:t>
      </w:r>
      <w:r>
        <w:rPr>
          <w:rFonts w:hint="eastAsia" w:ascii="仿宋" w:hAnsi="仿宋" w:eastAsia="仿宋" w:cs="仿宋"/>
          <w:b w:val="0"/>
          <w:bCs w:val="0"/>
          <w:kern w:val="0"/>
          <w:sz w:val="30"/>
          <w:szCs w:val="30"/>
          <w:shd w:val="clear" w:color="auto" w:fill="FFFFFF"/>
        </w:rPr>
        <w:t>【2020】</w:t>
      </w:r>
      <w:r>
        <w:rPr>
          <w:rFonts w:hint="eastAsia" w:ascii="仿宋" w:hAnsi="仿宋" w:eastAsia="仿宋" w:cs="仿宋"/>
          <w:b w:val="0"/>
          <w:bCs w:val="0"/>
          <w:kern w:val="0"/>
          <w:sz w:val="30"/>
          <w:szCs w:val="30"/>
          <w:shd w:val="clear" w:color="auto" w:fill="FFFFFF"/>
          <w:lang w:val="en-US" w:eastAsia="zh-CN"/>
        </w:rPr>
        <w:t>81</w:t>
      </w:r>
      <w:r>
        <w:rPr>
          <w:rFonts w:hint="eastAsia" w:ascii="仿宋" w:hAnsi="仿宋" w:eastAsia="仿宋" w:cs="仿宋"/>
          <w:b w:val="0"/>
          <w:bCs w:val="0"/>
          <w:kern w:val="0"/>
          <w:sz w:val="30"/>
          <w:szCs w:val="30"/>
          <w:shd w:val="clear" w:color="auto" w:fill="FFFFFF"/>
        </w:rPr>
        <w:t>号</w:t>
      </w:r>
      <w:r>
        <w:rPr>
          <w:rFonts w:hint="eastAsia" w:ascii="仿宋" w:hAnsi="仿宋" w:eastAsia="仿宋" w:cs="仿宋"/>
          <w:b w:val="0"/>
          <w:bCs w:val="0"/>
          <w:kern w:val="0"/>
          <w:sz w:val="30"/>
          <w:szCs w:val="30"/>
          <w:shd w:val="clear" w:color="auto" w:fill="FFFFFF"/>
          <w:lang w:eastAsia="zh-CN"/>
        </w:rPr>
        <w:t>科技项目专项资金、学科带头人专项经费</w:t>
      </w:r>
      <w:r>
        <w:rPr>
          <w:rFonts w:hint="eastAsia" w:ascii="仿宋" w:hAnsi="仿宋" w:eastAsia="仿宋" w:cs="仿宋"/>
          <w:b w:val="0"/>
          <w:bCs w:val="0"/>
          <w:kern w:val="0"/>
          <w:sz w:val="30"/>
          <w:szCs w:val="30"/>
          <w:shd w:val="clear" w:color="auto" w:fill="FFFFFF"/>
          <w:lang w:val="en-US" w:eastAsia="zh-CN"/>
        </w:rPr>
        <w:t>25万元</w:t>
      </w:r>
      <w:r>
        <w:rPr>
          <w:rFonts w:hint="eastAsia" w:ascii="仿宋" w:hAnsi="仿宋" w:eastAsia="仿宋" w:cs="仿宋"/>
          <w:b w:val="0"/>
          <w:bCs w:val="0"/>
          <w:kern w:val="0"/>
          <w:sz w:val="30"/>
          <w:szCs w:val="30"/>
          <w:shd w:val="clear" w:color="auto" w:fill="FFFFFF"/>
          <w:lang w:eastAsia="zh-CN"/>
        </w:rPr>
        <w:t>，支出</w:t>
      </w:r>
      <w:r>
        <w:rPr>
          <w:rFonts w:hint="eastAsia" w:ascii="仿宋" w:hAnsi="仿宋" w:eastAsia="仿宋" w:cs="仿宋"/>
          <w:b w:val="0"/>
          <w:bCs w:val="0"/>
          <w:kern w:val="0"/>
          <w:sz w:val="30"/>
          <w:szCs w:val="30"/>
          <w:shd w:val="clear" w:color="auto" w:fill="FFFFFF"/>
          <w:lang w:val="en-US" w:eastAsia="zh-CN"/>
        </w:rPr>
        <w:t>4.12</w:t>
      </w:r>
      <w:r>
        <w:rPr>
          <w:rFonts w:hint="eastAsia" w:ascii="仿宋" w:hAnsi="仿宋" w:eastAsia="仿宋" w:cs="仿宋"/>
          <w:b w:val="0"/>
          <w:bCs w:val="0"/>
          <w:kern w:val="0"/>
          <w:sz w:val="30"/>
          <w:szCs w:val="30"/>
          <w:shd w:val="clear" w:color="auto" w:fill="FFFFFF"/>
        </w:rPr>
        <w:t>万元</w:t>
      </w:r>
      <w:r>
        <w:rPr>
          <w:rFonts w:hint="eastAsia" w:ascii="仿宋" w:hAnsi="仿宋" w:eastAsia="仿宋" w:cs="仿宋"/>
          <w:b w:val="0"/>
          <w:bCs w:val="0"/>
          <w:kern w:val="0"/>
          <w:sz w:val="30"/>
          <w:szCs w:val="30"/>
          <w:shd w:val="clear" w:color="auto" w:fill="FFFFFF"/>
          <w:lang w:eastAsia="zh-CN"/>
        </w:rPr>
        <w:t>，结余</w:t>
      </w:r>
      <w:r>
        <w:rPr>
          <w:rFonts w:hint="eastAsia" w:ascii="仿宋" w:hAnsi="仿宋" w:eastAsia="仿宋" w:cs="仿宋"/>
          <w:b w:val="0"/>
          <w:bCs w:val="0"/>
          <w:kern w:val="0"/>
          <w:sz w:val="30"/>
          <w:szCs w:val="30"/>
          <w:shd w:val="clear" w:color="auto" w:fill="FFFFFF"/>
          <w:lang w:val="en-US" w:eastAsia="zh-CN"/>
        </w:rPr>
        <w:t>20.88万元，支出</w:t>
      </w:r>
      <w:r>
        <w:rPr>
          <w:rFonts w:hint="eastAsia" w:ascii="仿宋" w:hAnsi="仿宋" w:eastAsia="仿宋" w:cs="仿宋"/>
          <w:b w:val="0"/>
          <w:bCs w:val="0"/>
          <w:kern w:val="0"/>
          <w:sz w:val="30"/>
          <w:szCs w:val="30"/>
          <w:shd w:val="clear" w:color="auto" w:fill="FFFFFF"/>
          <w:lang w:eastAsia="zh-CN"/>
        </w:rPr>
        <w:t>专项用于科技项目及学科带头人项目产生的</w:t>
      </w:r>
      <w:r>
        <w:rPr>
          <w:rFonts w:hint="eastAsia" w:ascii="仿宋" w:hAnsi="仿宋" w:eastAsia="仿宋" w:cs="仿宋"/>
          <w:b w:val="0"/>
          <w:bCs w:val="0"/>
          <w:kern w:val="0"/>
          <w:sz w:val="30"/>
          <w:szCs w:val="30"/>
          <w:shd w:val="clear" w:color="auto" w:fill="FFFFFF"/>
        </w:rPr>
        <w:t>差旅费、专用材料费、</w:t>
      </w:r>
      <w:r>
        <w:rPr>
          <w:rFonts w:hint="eastAsia" w:ascii="仿宋" w:hAnsi="仿宋" w:eastAsia="仿宋" w:cs="仿宋"/>
          <w:b w:val="0"/>
          <w:bCs w:val="0"/>
          <w:kern w:val="0"/>
          <w:sz w:val="30"/>
          <w:szCs w:val="30"/>
          <w:shd w:val="clear" w:color="auto" w:fill="FFFFFF"/>
          <w:lang w:eastAsia="zh-CN"/>
        </w:rPr>
        <w:t>培训</w:t>
      </w:r>
      <w:r>
        <w:rPr>
          <w:rFonts w:hint="eastAsia" w:ascii="仿宋" w:hAnsi="仿宋" w:eastAsia="仿宋" w:cs="仿宋"/>
          <w:b w:val="0"/>
          <w:bCs w:val="0"/>
          <w:kern w:val="0"/>
          <w:sz w:val="30"/>
          <w:szCs w:val="30"/>
          <w:shd w:val="clear" w:color="auto" w:fill="FFFFFF"/>
        </w:rPr>
        <w:t>费等。</w:t>
      </w:r>
    </w:p>
    <w:p>
      <w:pPr>
        <w:widowControl/>
        <w:numPr>
          <w:ilvl w:val="0"/>
          <w:numId w:val="0"/>
        </w:numPr>
        <w:tabs>
          <w:tab w:val="left" w:pos="0"/>
        </w:tabs>
        <w:snapToGrid w:val="0"/>
        <w:spacing w:after="100" w:afterAutospacing="1" w:line="360" w:lineRule="auto"/>
        <w:ind w:firstLine="600" w:firstLineChars="2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lang w:val="en-US" w:eastAsia="zh-CN"/>
        </w:rPr>
        <w:t>5、</w:t>
      </w:r>
      <w:r>
        <w:rPr>
          <w:rFonts w:hint="eastAsia" w:ascii="仿宋" w:hAnsi="仿宋" w:eastAsia="仿宋" w:cs="仿宋"/>
          <w:b w:val="0"/>
          <w:bCs w:val="0"/>
          <w:kern w:val="0"/>
          <w:sz w:val="30"/>
          <w:szCs w:val="30"/>
          <w:shd w:val="clear" w:color="auto" w:fill="FFFFFF"/>
        </w:rPr>
        <w:t>迪财教〔2020〕148号科技特派员项目</w:t>
      </w:r>
      <w:r>
        <w:rPr>
          <w:rFonts w:hint="eastAsia" w:ascii="仿宋" w:hAnsi="仿宋" w:eastAsia="仿宋" w:cs="仿宋"/>
          <w:b w:val="0"/>
          <w:bCs w:val="0"/>
          <w:kern w:val="0"/>
          <w:sz w:val="30"/>
          <w:szCs w:val="30"/>
          <w:shd w:val="clear" w:color="auto" w:fill="FFFFFF"/>
          <w:lang w:eastAsia="zh-CN"/>
        </w:rPr>
        <w:t>专项资金</w:t>
      </w:r>
      <w:r>
        <w:rPr>
          <w:rFonts w:hint="eastAsia" w:ascii="仿宋" w:hAnsi="仿宋" w:eastAsia="仿宋" w:cs="仿宋"/>
          <w:b w:val="0"/>
          <w:bCs w:val="0"/>
          <w:kern w:val="0"/>
          <w:sz w:val="30"/>
          <w:szCs w:val="30"/>
          <w:shd w:val="clear" w:color="auto" w:fill="FFFFFF"/>
          <w:lang w:val="en-US" w:eastAsia="zh-CN"/>
        </w:rPr>
        <w:t>3.8万元，</w:t>
      </w:r>
      <w:r>
        <w:rPr>
          <w:rFonts w:hint="eastAsia" w:ascii="仿宋" w:hAnsi="仿宋" w:eastAsia="仿宋" w:cs="仿宋"/>
          <w:b w:val="0"/>
          <w:bCs w:val="0"/>
          <w:kern w:val="0"/>
          <w:sz w:val="30"/>
          <w:szCs w:val="30"/>
          <w:shd w:val="clear" w:color="auto" w:fill="FFFFFF"/>
          <w:lang w:eastAsia="zh-CN"/>
        </w:rPr>
        <w:t>支出</w:t>
      </w:r>
      <w:r>
        <w:rPr>
          <w:rFonts w:hint="eastAsia" w:ascii="仿宋" w:hAnsi="仿宋" w:eastAsia="仿宋" w:cs="仿宋"/>
          <w:b w:val="0"/>
          <w:bCs w:val="0"/>
          <w:kern w:val="0"/>
          <w:sz w:val="30"/>
          <w:szCs w:val="30"/>
          <w:shd w:val="clear" w:color="auto" w:fill="FFFFFF"/>
          <w:lang w:val="en-US" w:eastAsia="zh-CN"/>
        </w:rPr>
        <w:t>3.8</w:t>
      </w:r>
      <w:r>
        <w:rPr>
          <w:rFonts w:hint="eastAsia" w:ascii="仿宋" w:hAnsi="仿宋" w:eastAsia="仿宋" w:cs="仿宋"/>
          <w:b w:val="0"/>
          <w:bCs w:val="0"/>
          <w:kern w:val="0"/>
          <w:sz w:val="30"/>
          <w:szCs w:val="30"/>
          <w:shd w:val="clear" w:color="auto" w:fill="FFFFFF"/>
        </w:rPr>
        <w:t>万元</w:t>
      </w:r>
      <w:r>
        <w:rPr>
          <w:rFonts w:hint="eastAsia" w:ascii="仿宋" w:hAnsi="仿宋" w:eastAsia="仿宋" w:cs="仿宋"/>
          <w:b w:val="0"/>
          <w:bCs w:val="0"/>
          <w:kern w:val="0"/>
          <w:sz w:val="30"/>
          <w:szCs w:val="30"/>
          <w:shd w:val="clear" w:color="auto" w:fill="FFFFFF"/>
          <w:lang w:eastAsia="zh-CN"/>
        </w:rPr>
        <w:t>，</w:t>
      </w:r>
      <w:r>
        <w:rPr>
          <w:rFonts w:hint="eastAsia" w:ascii="仿宋" w:hAnsi="仿宋" w:eastAsia="仿宋" w:cs="仿宋"/>
          <w:b w:val="0"/>
          <w:bCs w:val="0"/>
          <w:kern w:val="0"/>
          <w:sz w:val="30"/>
          <w:szCs w:val="30"/>
          <w:shd w:val="clear" w:color="auto" w:fill="FFFFFF"/>
          <w:lang w:val="en-US" w:eastAsia="zh-CN"/>
        </w:rPr>
        <w:t>支出</w:t>
      </w:r>
      <w:r>
        <w:rPr>
          <w:rFonts w:hint="eastAsia" w:ascii="仿宋" w:hAnsi="仿宋" w:eastAsia="仿宋" w:cs="仿宋"/>
          <w:b w:val="0"/>
          <w:bCs w:val="0"/>
          <w:kern w:val="0"/>
          <w:sz w:val="30"/>
          <w:szCs w:val="30"/>
          <w:shd w:val="clear" w:color="auto" w:fill="FFFFFF"/>
          <w:lang w:eastAsia="zh-CN"/>
        </w:rPr>
        <w:t>专项用于</w:t>
      </w:r>
      <w:r>
        <w:rPr>
          <w:rFonts w:hint="eastAsia" w:ascii="仿宋" w:hAnsi="仿宋" w:eastAsia="仿宋" w:cs="仿宋"/>
          <w:b w:val="0"/>
          <w:bCs w:val="0"/>
          <w:kern w:val="0"/>
          <w:sz w:val="30"/>
          <w:szCs w:val="30"/>
          <w:shd w:val="clear" w:color="auto" w:fill="FFFFFF"/>
        </w:rPr>
        <w:t>科技特派员</w:t>
      </w:r>
      <w:r>
        <w:rPr>
          <w:rFonts w:hint="eastAsia" w:ascii="仿宋" w:hAnsi="仿宋" w:eastAsia="仿宋" w:cs="仿宋"/>
          <w:b w:val="0"/>
          <w:bCs w:val="0"/>
          <w:kern w:val="0"/>
          <w:sz w:val="30"/>
          <w:szCs w:val="30"/>
          <w:shd w:val="clear" w:color="auto" w:fill="FFFFFF"/>
          <w:lang w:eastAsia="zh-CN"/>
        </w:rPr>
        <w:t>项目产生的</w:t>
      </w:r>
      <w:r>
        <w:rPr>
          <w:rFonts w:hint="eastAsia" w:ascii="仿宋" w:hAnsi="仿宋" w:eastAsia="仿宋" w:cs="仿宋"/>
          <w:b w:val="0"/>
          <w:bCs w:val="0"/>
          <w:kern w:val="0"/>
          <w:sz w:val="30"/>
          <w:szCs w:val="30"/>
          <w:shd w:val="clear" w:color="auto" w:fill="FFFFFF"/>
        </w:rPr>
        <w:t>差旅费、专用材料费、</w:t>
      </w:r>
      <w:r>
        <w:rPr>
          <w:rFonts w:hint="eastAsia" w:ascii="仿宋" w:hAnsi="仿宋" w:eastAsia="仿宋" w:cs="仿宋"/>
          <w:b w:val="0"/>
          <w:bCs w:val="0"/>
          <w:kern w:val="0"/>
          <w:sz w:val="30"/>
          <w:szCs w:val="30"/>
          <w:shd w:val="clear" w:color="auto" w:fill="FFFFFF"/>
          <w:lang w:eastAsia="zh-CN"/>
        </w:rPr>
        <w:t>培训</w:t>
      </w:r>
      <w:r>
        <w:rPr>
          <w:rFonts w:hint="eastAsia" w:ascii="仿宋" w:hAnsi="仿宋" w:eastAsia="仿宋" w:cs="仿宋"/>
          <w:b w:val="0"/>
          <w:bCs w:val="0"/>
          <w:kern w:val="0"/>
          <w:sz w:val="30"/>
          <w:szCs w:val="30"/>
          <w:shd w:val="clear" w:color="auto" w:fill="FFFFFF"/>
        </w:rPr>
        <w:t>费等。</w:t>
      </w:r>
    </w:p>
    <w:p>
      <w:pPr>
        <w:widowControl/>
        <w:snapToGrid w:val="0"/>
        <w:spacing w:after="100" w:afterAutospacing="1" w:line="360" w:lineRule="auto"/>
        <w:ind w:firstLine="6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三、一般公共预算财政拨款支出决算情况说明</w:t>
      </w:r>
    </w:p>
    <w:p>
      <w:pPr>
        <w:widowControl/>
        <w:snapToGrid w:val="0"/>
        <w:spacing w:after="100" w:afterAutospacing="1" w:line="360" w:lineRule="auto"/>
        <w:ind w:firstLine="6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（一）一般公共预算财政拨款支出决算总体情况</w:t>
      </w:r>
    </w:p>
    <w:p>
      <w:pPr>
        <w:widowControl/>
        <w:snapToGrid w:val="0"/>
        <w:spacing w:line="360" w:lineRule="auto"/>
        <w:ind w:firstLine="600" w:firstLineChars="200"/>
        <w:jc w:val="left"/>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shd w:val="clear" w:color="auto" w:fill="FFFFFF"/>
        </w:rPr>
        <w:t>迪庆藏族自治州农业科学研究院2020年度一般公共预算财政拨款支出1697.73万元，占本年支出合计的94.96%</w:t>
      </w:r>
      <w:r>
        <w:rPr>
          <w:rFonts w:hint="eastAsia" w:ascii="仿宋" w:hAnsi="仿宋" w:eastAsia="仿宋" w:cs="仿宋"/>
          <w:b w:val="0"/>
          <w:bCs w:val="0"/>
          <w:color w:val="000000"/>
          <w:kern w:val="0"/>
          <w:sz w:val="30"/>
          <w:szCs w:val="30"/>
          <w:shd w:val="clear" w:color="auto" w:fill="FFFFFF"/>
        </w:rPr>
        <w:t>。</w:t>
      </w:r>
      <w:r>
        <w:rPr>
          <w:rFonts w:hint="eastAsia" w:ascii="仿宋" w:hAnsi="仿宋" w:eastAsia="仿宋" w:cs="仿宋"/>
          <w:b w:val="0"/>
          <w:bCs w:val="0"/>
          <w:kern w:val="0"/>
          <w:sz w:val="30"/>
          <w:szCs w:val="30"/>
        </w:rPr>
        <w:t>本单位</w:t>
      </w:r>
      <w:r>
        <w:rPr>
          <w:rFonts w:hint="eastAsia" w:ascii="仿宋" w:hAnsi="仿宋" w:eastAsia="仿宋" w:cs="仿宋"/>
          <w:b w:val="0"/>
          <w:bCs w:val="0"/>
          <w:kern w:val="0"/>
          <w:sz w:val="30"/>
          <w:szCs w:val="30"/>
          <w:lang w:eastAsia="zh-CN"/>
        </w:rPr>
        <w:t>为</w:t>
      </w:r>
      <w:r>
        <w:rPr>
          <w:rFonts w:hint="eastAsia" w:ascii="仿宋" w:hAnsi="仿宋" w:eastAsia="仿宋" w:cs="仿宋"/>
          <w:b w:val="0"/>
          <w:bCs w:val="0"/>
          <w:kern w:val="0"/>
          <w:sz w:val="30"/>
          <w:szCs w:val="30"/>
          <w:lang w:val="en-US" w:eastAsia="zh-CN"/>
        </w:rPr>
        <w:t>2020年度</w:t>
      </w:r>
      <w:r>
        <w:rPr>
          <w:rFonts w:hint="eastAsia" w:ascii="仿宋" w:hAnsi="仿宋" w:eastAsia="仿宋" w:cs="仿宋"/>
          <w:b w:val="0"/>
          <w:bCs w:val="0"/>
          <w:kern w:val="0"/>
          <w:sz w:val="30"/>
          <w:szCs w:val="30"/>
        </w:rPr>
        <w:t>机构改革新成立单位，无上年数。</w:t>
      </w:r>
    </w:p>
    <w:p>
      <w:pPr>
        <w:widowControl/>
        <w:snapToGrid w:val="0"/>
        <w:spacing w:line="360" w:lineRule="auto"/>
        <w:ind w:firstLine="600" w:firstLineChars="200"/>
        <w:jc w:val="left"/>
        <w:rPr>
          <w:rFonts w:hint="eastAsia" w:ascii="仿宋" w:hAnsi="仿宋" w:eastAsia="仿宋" w:cs="仿宋"/>
          <w:b w:val="0"/>
          <w:bCs w:val="0"/>
          <w:kern w:val="0"/>
          <w:sz w:val="30"/>
          <w:szCs w:val="30"/>
        </w:rPr>
      </w:pPr>
    </w:p>
    <w:p>
      <w:pPr>
        <w:widowControl/>
        <w:snapToGrid w:val="0"/>
        <w:spacing w:after="100" w:afterAutospacing="1" w:line="360" w:lineRule="auto"/>
        <w:ind w:firstLine="6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（二）一般公共预算财政拨款支出决算具体情况</w:t>
      </w:r>
    </w:p>
    <w:p>
      <w:pPr>
        <w:widowControl/>
        <w:snapToGrid w:val="0"/>
        <w:spacing w:after="100" w:afterAutospacing="1" w:line="360" w:lineRule="auto"/>
        <w:ind w:firstLine="6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1.一般公共服务（类）支出7.17万元，占一般公共预算财政拨款总支出的0.42%，主要用于公用取暖、水电等支出。</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2.外交（类）支出0.00万元，占一般公共预算财政拨款总支出的0.00%。</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3.国防（类）支出0.00万元，占一般公共预算财政拨款总支出的0.00%。</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4.公共安全（类）支出0.00万元，占一般公共预算财政拨款总支出的0.00%。</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5.教育（类）支出0.00万元，占一般公共预算财政拨款总支出的0.00%。</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6.科学技术（类）支出56.12万元，占一般公共预算财政拨款总支出的3.31%，主要用于科技推广项目、三区人才等科技活动项目支出。</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7.文化旅游体育与传媒（类）支出0.00万元，占一般公共预算财政拨款总支出的0.00%。</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8.社会保障和就业（类）支出</w:t>
      </w:r>
      <w:r>
        <w:rPr>
          <w:rFonts w:hint="eastAsia" w:ascii="仿宋" w:hAnsi="仿宋" w:eastAsia="仿宋" w:cs="仿宋"/>
          <w:b w:val="0"/>
          <w:bCs w:val="0"/>
          <w:kern w:val="0"/>
          <w:sz w:val="30"/>
          <w:szCs w:val="30"/>
          <w:shd w:val="clear" w:color="auto" w:fill="FFFFFF"/>
          <w:lang w:val="en-US" w:eastAsia="zh-CN"/>
        </w:rPr>
        <w:t>135.40</w:t>
      </w:r>
      <w:r>
        <w:rPr>
          <w:rFonts w:hint="eastAsia" w:ascii="仿宋" w:hAnsi="仿宋" w:eastAsia="仿宋" w:cs="仿宋"/>
          <w:b w:val="0"/>
          <w:bCs w:val="0"/>
          <w:kern w:val="0"/>
          <w:sz w:val="30"/>
          <w:szCs w:val="30"/>
          <w:shd w:val="clear" w:color="auto" w:fill="FFFFFF"/>
        </w:rPr>
        <w:t>万元，占一般公共预算财政拨款总支出的7.</w:t>
      </w:r>
      <w:r>
        <w:rPr>
          <w:rFonts w:hint="eastAsia" w:ascii="仿宋" w:hAnsi="仿宋" w:eastAsia="仿宋" w:cs="仿宋"/>
          <w:b w:val="0"/>
          <w:bCs w:val="0"/>
          <w:kern w:val="0"/>
          <w:sz w:val="30"/>
          <w:szCs w:val="30"/>
          <w:shd w:val="clear" w:color="auto" w:fill="FFFFFF"/>
          <w:lang w:val="en-US" w:eastAsia="zh-CN"/>
        </w:rPr>
        <w:t>98</w:t>
      </w:r>
      <w:r>
        <w:rPr>
          <w:rFonts w:hint="eastAsia" w:ascii="仿宋" w:hAnsi="仿宋" w:eastAsia="仿宋" w:cs="仿宋"/>
          <w:b w:val="0"/>
          <w:bCs w:val="0"/>
          <w:kern w:val="0"/>
          <w:sz w:val="30"/>
          <w:szCs w:val="30"/>
          <w:shd w:val="clear" w:color="auto" w:fill="FFFFFF"/>
        </w:rPr>
        <w:t>%。主要用于养老保险单位部分</w:t>
      </w:r>
      <w:r>
        <w:rPr>
          <w:rFonts w:hint="eastAsia" w:ascii="仿宋" w:hAnsi="仿宋" w:eastAsia="仿宋" w:cs="仿宋"/>
          <w:b w:val="0"/>
          <w:bCs w:val="0"/>
          <w:kern w:val="0"/>
          <w:sz w:val="30"/>
          <w:szCs w:val="30"/>
          <w:shd w:val="clear" w:color="auto" w:fill="FFFFFF"/>
          <w:lang w:eastAsia="zh-CN"/>
        </w:rPr>
        <w:t>、</w:t>
      </w:r>
      <w:r>
        <w:rPr>
          <w:rFonts w:hint="eastAsia" w:ascii="仿宋" w:hAnsi="仿宋" w:eastAsia="仿宋" w:cs="仿宋"/>
          <w:b w:val="0"/>
          <w:bCs w:val="0"/>
          <w:kern w:val="0"/>
          <w:sz w:val="30"/>
          <w:szCs w:val="30"/>
          <w:shd w:val="clear" w:color="auto" w:fill="FFFFFF"/>
        </w:rPr>
        <w:t>退休人员活动费等支出；</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9.卫生健康（类）支出</w:t>
      </w:r>
      <w:r>
        <w:rPr>
          <w:rFonts w:hint="eastAsia" w:ascii="仿宋" w:hAnsi="仿宋" w:eastAsia="仿宋" w:cs="仿宋"/>
          <w:b w:val="0"/>
          <w:bCs w:val="0"/>
          <w:kern w:val="0"/>
          <w:sz w:val="30"/>
          <w:szCs w:val="30"/>
          <w:shd w:val="clear" w:color="auto" w:fill="FFFFFF"/>
          <w:lang w:val="en-US" w:eastAsia="zh-CN"/>
        </w:rPr>
        <w:t>108.01</w:t>
      </w:r>
      <w:r>
        <w:rPr>
          <w:rFonts w:hint="eastAsia" w:ascii="仿宋" w:hAnsi="仿宋" w:eastAsia="仿宋" w:cs="仿宋"/>
          <w:b w:val="0"/>
          <w:bCs w:val="0"/>
          <w:kern w:val="0"/>
          <w:sz w:val="30"/>
          <w:szCs w:val="30"/>
          <w:shd w:val="clear" w:color="auto" w:fill="FFFFFF"/>
        </w:rPr>
        <w:t>万元，占一般公共预算财政拨款总支出的</w:t>
      </w:r>
      <w:r>
        <w:rPr>
          <w:rFonts w:hint="eastAsia" w:ascii="仿宋" w:hAnsi="仿宋" w:eastAsia="仿宋" w:cs="仿宋"/>
          <w:b w:val="0"/>
          <w:bCs w:val="0"/>
          <w:kern w:val="0"/>
          <w:sz w:val="30"/>
          <w:szCs w:val="30"/>
          <w:shd w:val="clear" w:color="auto" w:fill="FFFFFF"/>
          <w:lang w:val="en-US" w:eastAsia="zh-CN"/>
        </w:rPr>
        <w:t>6</w:t>
      </w:r>
      <w:r>
        <w:rPr>
          <w:rFonts w:hint="eastAsia" w:ascii="仿宋" w:hAnsi="仿宋" w:eastAsia="仿宋" w:cs="仿宋"/>
          <w:b w:val="0"/>
          <w:bCs w:val="0"/>
          <w:kern w:val="0"/>
          <w:sz w:val="30"/>
          <w:szCs w:val="30"/>
          <w:shd w:val="clear" w:color="auto" w:fill="FFFFFF"/>
        </w:rPr>
        <w:t>.</w:t>
      </w:r>
      <w:r>
        <w:rPr>
          <w:rFonts w:hint="eastAsia" w:ascii="仿宋" w:hAnsi="仿宋" w:eastAsia="仿宋" w:cs="仿宋"/>
          <w:b w:val="0"/>
          <w:bCs w:val="0"/>
          <w:kern w:val="0"/>
          <w:sz w:val="30"/>
          <w:szCs w:val="30"/>
          <w:shd w:val="clear" w:color="auto" w:fill="FFFFFF"/>
          <w:lang w:val="en-US" w:eastAsia="zh-CN"/>
        </w:rPr>
        <w:t>36</w:t>
      </w:r>
      <w:r>
        <w:rPr>
          <w:rFonts w:hint="eastAsia" w:ascii="仿宋" w:hAnsi="仿宋" w:eastAsia="仿宋" w:cs="仿宋"/>
          <w:b w:val="0"/>
          <w:bCs w:val="0"/>
          <w:kern w:val="0"/>
          <w:sz w:val="30"/>
          <w:szCs w:val="30"/>
          <w:shd w:val="clear" w:color="auto" w:fill="FFFFFF"/>
        </w:rPr>
        <w:t xml:space="preserve">%，主要用于医疗保障缴费等支出； </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10.节能环保（类）支出0.00万元，占一般公共预算财政拨款总支出的0.00%。</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11.城乡社区（类）支出0.00万元，占一般公共预算财政拨款总支出的0.00%。</w:t>
      </w:r>
    </w:p>
    <w:p>
      <w:pPr>
        <w:widowControl/>
        <w:snapToGrid w:val="0"/>
        <w:spacing w:before="100" w:after="100" w:line="360" w:lineRule="auto"/>
        <w:ind w:firstLine="600" w:firstLineChars="2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12.农林水（类）支出12</w:t>
      </w:r>
      <w:r>
        <w:rPr>
          <w:rFonts w:hint="eastAsia" w:ascii="仿宋" w:hAnsi="仿宋" w:eastAsia="仿宋" w:cs="仿宋"/>
          <w:b w:val="0"/>
          <w:bCs w:val="0"/>
          <w:kern w:val="0"/>
          <w:sz w:val="30"/>
          <w:szCs w:val="30"/>
          <w:shd w:val="clear" w:color="auto" w:fill="FFFFFF"/>
          <w:lang w:val="en-US" w:eastAsia="zh-CN"/>
        </w:rPr>
        <w:t>80</w:t>
      </w:r>
      <w:r>
        <w:rPr>
          <w:rFonts w:hint="eastAsia" w:ascii="仿宋" w:hAnsi="仿宋" w:eastAsia="仿宋" w:cs="仿宋"/>
          <w:b w:val="0"/>
          <w:bCs w:val="0"/>
          <w:kern w:val="0"/>
          <w:sz w:val="30"/>
          <w:szCs w:val="30"/>
          <w:shd w:val="clear" w:color="auto" w:fill="FFFFFF"/>
        </w:rPr>
        <w:t>.</w:t>
      </w:r>
      <w:r>
        <w:rPr>
          <w:rFonts w:hint="eastAsia" w:ascii="仿宋" w:hAnsi="仿宋" w:eastAsia="仿宋" w:cs="仿宋"/>
          <w:b w:val="0"/>
          <w:bCs w:val="0"/>
          <w:kern w:val="0"/>
          <w:sz w:val="30"/>
          <w:szCs w:val="30"/>
          <w:shd w:val="clear" w:color="auto" w:fill="FFFFFF"/>
          <w:lang w:val="en-US" w:eastAsia="zh-CN"/>
        </w:rPr>
        <w:t>5</w:t>
      </w:r>
      <w:r>
        <w:rPr>
          <w:rFonts w:hint="eastAsia" w:ascii="仿宋" w:hAnsi="仿宋" w:eastAsia="仿宋" w:cs="仿宋"/>
          <w:b w:val="0"/>
          <w:bCs w:val="0"/>
          <w:kern w:val="0"/>
          <w:sz w:val="30"/>
          <w:szCs w:val="30"/>
          <w:shd w:val="clear" w:color="auto" w:fill="FFFFFF"/>
        </w:rPr>
        <w:t>0万元，占一般公共预算财政拨款总支出的7</w:t>
      </w:r>
      <w:r>
        <w:rPr>
          <w:rFonts w:hint="eastAsia" w:ascii="仿宋" w:hAnsi="仿宋" w:eastAsia="仿宋" w:cs="仿宋"/>
          <w:b w:val="0"/>
          <w:bCs w:val="0"/>
          <w:kern w:val="0"/>
          <w:sz w:val="30"/>
          <w:szCs w:val="30"/>
          <w:shd w:val="clear" w:color="auto" w:fill="FFFFFF"/>
          <w:lang w:val="en-US" w:eastAsia="zh-CN"/>
        </w:rPr>
        <w:t>5</w:t>
      </w:r>
      <w:r>
        <w:rPr>
          <w:rFonts w:hint="eastAsia" w:ascii="仿宋" w:hAnsi="仿宋" w:eastAsia="仿宋" w:cs="仿宋"/>
          <w:b w:val="0"/>
          <w:bCs w:val="0"/>
          <w:kern w:val="0"/>
          <w:sz w:val="30"/>
          <w:szCs w:val="30"/>
          <w:shd w:val="clear" w:color="auto" w:fill="FFFFFF"/>
        </w:rPr>
        <w:t>.</w:t>
      </w:r>
      <w:r>
        <w:rPr>
          <w:rFonts w:hint="eastAsia" w:ascii="仿宋" w:hAnsi="仿宋" w:eastAsia="仿宋" w:cs="仿宋"/>
          <w:b w:val="0"/>
          <w:bCs w:val="0"/>
          <w:kern w:val="0"/>
          <w:sz w:val="30"/>
          <w:szCs w:val="30"/>
          <w:shd w:val="clear" w:color="auto" w:fill="FFFFFF"/>
          <w:lang w:val="en-US" w:eastAsia="zh-CN"/>
        </w:rPr>
        <w:t>42</w:t>
      </w:r>
      <w:r>
        <w:rPr>
          <w:rFonts w:hint="eastAsia" w:ascii="仿宋" w:hAnsi="仿宋" w:eastAsia="仿宋" w:cs="仿宋"/>
          <w:b w:val="0"/>
          <w:bCs w:val="0"/>
          <w:kern w:val="0"/>
          <w:sz w:val="30"/>
          <w:szCs w:val="30"/>
          <w:shd w:val="clear" w:color="auto" w:fill="FFFFFF"/>
        </w:rPr>
        <w:t>%。主要用于事业运行、农业科技转化与推广服务等支出；</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13.交通运输（类）支出0.00万元，占一般公共预算财政拨款总支出的0.00%。</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14.资源勘探信息等（类）支出0.00万元，占一般公共预算财政拨款总支出的0.00%。</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15.商业服务业等（类）支出0.00万元，占一般公共预算财政拨款总支出的0.00%。</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16.金融（类）支出0.00万元，占一般公共预算财政拨款总支出的0.00%。</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17.援助其他地区（类）支出0.00万元，占一般公共预算财政拨款总支出的0.00%。</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18.自然资源海洋气象等（类）支出0.00万元，占一般公共预算财政拨款总支出的0.00%。</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19.住房保障（类）支出110.53万元，占一般公共预算财政拨款总支出的6.51%</w:t>
      </w:r>
      <w:r>
        <w:rPr>
          <w:rFonts w:hint="eastAsia" w:ascii="仿宋" w:hAnsi="仿宋" w:eastAsia="仿宋" w:cs="仿宋"/>
          <w:b w:val="0"/>
          <w:bCs w:val="0"/>
          <w:kern w:val="0"/>
          <w:sz w:val="30"/>
          <w:szCs w:val="30"/>
          <w:shd w:val="clear" w:color="auto" w:fill="FFFFFF"/>
          <w:lang w:eastAsia="zh-CN"/>
        </w:rPr>
        <w:t>，</w:t>
      </w:r>
      <w:r>
        <w:rPr>
          <w:rFonts w:hint="eastAsia" w:ascii="仿宋" w:hAnsi="仿宋" w:eastAsia="仿宋" w:cs="仿宋"/>
          <w:b w:val="0"/>
          <w:bCs w:val="0"/>
          <w:kern w:val="0"/>
          <w:sz w:val="30"/>
          <w:szCs w:val="30"/>
          <w:shd w:val="clear" w:color="auto" w:fill="FFFFFF"/>
        </w:rPr>
        <w:t>主要用于住房公积金支出。</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20.粮油物资储备（类）支出0.00万元，占一般公共预算财政拨款总支出的0.00%。</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21.国有资本经营预算（类）支出0.00万元，占一般公共预算财政拨款总支出的0.00%。</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22.灾害防治及应急管理（类）支出0.00万元，占一般公共预算财政拨款总支出的0.00%。</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23.其他（类）支出0.00万元，占一般公共预算财政拨款总支出的0.00%。</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24.债务还本（类）支出0.00万元，占一般公共预算财政拨款总支出的0.00%。</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25.债务付息（类）支出0.00万元，占一般公共预算财政拨款总支出的0.00%。</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26.抗疫特别国债安排（类）支出0.00万元，占一般公共预算财政拨款总支出的0.00%。</w:t>
      </w:r>
    </w:p>
    <w:p>
      <w:pPr>
        <w:widowControl/>
        <w:snapToGrid w:val="0"/>
        <w:spacing w:after="100" w:afterAutospacing="1" w:line="360" w:lineRule="auto"/>
        <w:ind w:firstLine="6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四、一般公共预算财政拨款</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30"/>
          <w:szCs w:val="30"/>
          <w:shd w:val="clear" w:color="auto" w:fill="FFFFFF"/>
        </w:rPr>
        <w:t>三公</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30"/>
          <w:szCs w:val="30"/>
          <w:shd w:val="clear" w:color="auto" w:fill="FFFFFF"/>
        </w:rPr>
        <w:t>经费支出决算情况说明</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(一) 一般公共预算财政拨款</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30"/>
          <w:szCs w:val="30"/>
          <w:shd w:val="clear" w:color="auto" w:fill="FFFFFF"/>
        </w:rPr>
        <w:t>三公</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30"/>
          <w:szCs w:val="30"/>
          <w:shd w:val="clear" w:color="auto" w:fill="FFFFFF"/>
        </w:rPr>
        <w:t>经费支出决算总体情况</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迪庆藏族自治州农业科学研究院2020年度一般公共预算财政拨款</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30"/>
          <w:szCs w:val="30"/>
          <w:shd w:val="clear" w:color="auto" w:fill="FFFFFF"/>
        </w:rPr>
        <w:t>三公</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30"/>
          <w:szCs w:val="30"/>
          <w:shd w:val="clear" w:color="auto" w:fill="FFFFFF"/>
        </w:rPr>
        <w:t>经费支出预算为11.54万元，支出决算为11.54万元，完成预算的100%。其中：因公出国（境）费支出决算为0.00万元，完成预算的0%；公务用车购置及运行费支出决算为10.90万元，完成预算的100%；公务接待费支出决算为0.64万元，完成预算的100%。2020年度一般公共预算财政拨款“三公”经费支出决算数等于预算数。</w:t>
      </w:r>
    </w:p>
    <w:p>
      <w:pPr>
        <w:widowControl/>
        <w:snapToGrid w:val="0"/>
        <w:spacing w:after="100" w:afterAutospacing="1" w:line="360" w:lineRule="auto"/>
        <w:ind w:firstLine="6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 xml:space="preserve"> (二) 一般公共预算财政拨款</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30"/>
          <w:szCs w:val="30"/>
          <w:shd w:val="clear" w:color="auto" w:fill="FFFFFF"/>
        </w:rPr>
        <w:t>三公</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30"/>
          <w:szCs w:val="30"/>
          <w:shd w:val="clear" w:color="auto" w:fill="FFFFFF"/>
        </w:rPr>
        <w:t>经费支出决算具体情况</w:t>
      </w:r>
    </w:p>
    <w:p>
      <w:pPr>
        <w:widowControl/>
        <w:snapToGrid w:val="0"/>
        <w:spacing w:after="100" w:afterAutospacing="1" w:line="360" w:lineRule="auto"/>
        <w:ind w:firstLine="6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2020年度一般公共预算财政拨款</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30"/>
          <w:szCs w:val="30"/>
          <w:shd w:val="clear" w:color="auto" w:fill="FFFFFF"/>
        </w:rPr>
        <w:t>三公</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30"/>
          <w:szCs w:val="30"/>
          <w:shd w:val="clear" w:color="auto" w:fill="FFFFFF"/>
        </w:rPr>
        <w:t>经费支出决算中，因公出国（境）费支出0.00万元，占0.00%；公务用车购置及运行维护费支出10.90万元，占94.45%；公务接待费支出0.64万元，占5.55%。具体情况如下：</w:t>
      </w:r>
    </w:p>
    <w:p>
      <w:pPr>
        <w:widowControl/>
        <w:numPr>
          <w:ilvl w:val="0"/>
          <w:numId w:val="3"/>
        </w:numPr>
        <w:snapToGrid w:val="0"/>
        <w:spacing w:after="100" w:afterAutospacing="1" w:line="360" w:lineRule="auto"/>
        <w:ind w:left="210" w:leftChars="0" w:firstLine="602" w:firstLineChars="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因公出国（境）费支出0.00万元，共安排因公出国（境）团组0个，累计0人次。</w:t>
      </w:r>
    </w:p>
    <w:p>
      <w:pPr>
        <w:pStyle w:val="10"/>
        <w:widowControl/>
        <w:numPr>
          <w:ilvl w:val="0"/>
          <w:numId w:val="0"/>
        </w:numPr>
        <w:tabs>
          <w:tab w:val="left" w:pos="0"/>
        </w:tabs>
        <w:snapToGrid w:val="0"/>
        <w:spacing w:after="100" w:afterAutospacing="1" w:line="360" w:lineRule="auto"/>
        <w:ind w:leftChars="0" w:firstLine="600" w:firstLineChars="2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lang w:val="en-US" w:eastAsia="zh-CN"/>
        </w:rPr>
        <w:t>2.</w:t>
      </w:r>
      <w:r>
        <w:rPr>
          <w:rFonts w:hint="eastAsia" w:ascii="仿宋" w:hAnsi="仿宋" w:eastAsia="仿宋" w:cs="仿宋"/>
          <w:b w:val="0"/>
          <w:bCs w:val="0"/>
          <w:kern w:val="0"/>
          <w:sz w:val="30"/>
          <w:szCs w:val="30"/>
          <w:shd w:val="clear" w:color="auto" w:fill="FFFFFF"/>
        </w:rPr>
        <w:t>公务用车购置及运行维护费支出10.90万元。其中：</w:t>
      </w:r>
    </w:p>
    <w:p>
      <w:pPr>
        <w:widowControl/>
        <w:snapToGrid w:val="0"/>
        <w:spacing w:after="100" w:afterAutospacing="1" w:line="360" w:lineRule="auto"/>
        <w:ind w:firstLine="602"/>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公务用车购置支出0.00万元，购置车辆0辆。</w:t>
      </w:r>
    </w:p>
    <w:p>
      <w:pPr>
        <w:widowControl/>
        <w:snapToGrid w:val="0"/>
        <w:spacing w:after="100" w:afterAutospacing="1" w:line="360" w:lineRule="auto"/>
        <w:ind w:firstLine="602"/>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公务用车运行维护支出10.90万元，一般公共预算财政拨款开支的公务用车保有量为3辆。主要用于开展</w:t>
      </w:r>
      <w:r>
        <w:rPr>
          <w:rFonts w:hint="eastAsia" w:ascii="仿宋" w:hAnsi="仿宋" w:eastAsia="仿宋" w:cs="仿宋"/>
          <w:b w:val="0"/>
          <w:bCs w:val="0"/>
          <w:kern w:val="0"/>
          <w:sz w:val="32"/>
          <w:szCs w:val="32"/>
        </w:rPr>
        <w:t>农业新技术示范推广</w:t>
      </w:r>
      <w:r>
        <w:rPr>
          <w:rFonts w:hint="eastAsia" w:ascii="仿宋" w:hAnsi="仿宋" w:eastAsia="仿宋" w:cs="仿宋"/>
          <w:b w:val="0"/>
          <w:bCs w:val="0"/>
          <w:sz w:val="32"/>
          <w:szCs w:val="32"/>
        </w:rPr>
        <w:t>、种子、肥料、农业市场监督抽</w:t>
      </w:r>
      <w:r>
        <w:rPr>
          <w:rFonts w:hint="eastAsia" w:ascii="仿宋" w:hAnsi="仿宋" w:eastAsia="仿宋" w:cs="仿宋"/>
          <w:b w:val="0"/>
          <w:bCs w:val="0"/>
          <w:sz w:val="32"/>
          <w:szCs w:val="32"/>
          <w:lang w:eastAsia="zh-CN"/>
        </w:rPr>
        <w:t>查</w:t>
      </w:r>
      <w:r>
        <w:rPr>
          <w:rFonts w:hint="eastAsia" w:ascii="仿宋" w:hAnsi="仿宋" w:eastAsia="仿宋" w:cs="仿宋"/>
          <w:b w:val="0"/>
          <w:bCs w:val="0"/>
          <w:sz w:val="32"/>
          <w:szCs w:val="32"/>
        </w:rPr>
        <w:t>等</w:t>
      </w:r>
      <w:r>
        <w:rPr>
          <w:rFonts w:hint="eastAsia" w:ascii="仿宋" w:hAnsi="仿宋" w:eastAsia="仿宋" w:cs="仿宋"/>
          <w:b w:val="0"/>
          <w:bCs w:val="0"/>
          <w:kern w:val="0"/>
          <w:sz w:val="30"/>
          <w:szCs w:val="30"/>
          <w:shd w:val="clear" w:color="auto" w:fill="FFFFFF"/>
        </w:rPr>
        <w:t>所需车辆燃料费、维修费、过路过桥费、保险费等。</w:t>
      </w:r>
    </w:p>
    <w:p>
      <w:pPr>
        <w:pStyle w:val="10"/>
        <w:widowControl/>
        <w:numPr>
          <w:ilvl w:val="0"/>
          <w:numId w:val="0"/>
        </w:numPr>
        <w:tabs>
          <w:tab w:val="left" w:pos="0"/>
        </w:tabs>
        <w:snapToGrid w:val="0"/>
        <w:spacing w:after="100" w:afterAutospacing="1" w:line="360" w:lineRule="auto"/>
        <w:ind w:firstLine="600" w:firstLineChars="2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lang w:val="en-US" w:eastAsia="zh-CN"/>
        </w:rPr>
        <w:t>3.</w:t>
      </w:r>
      <w:r>
        <w:rPr>
          <w:rFonts w:hint="eastAsia" w:ascii="仿宋" w:hAnsi="仿宋" w:eastAsia="仿宋" w:cs="仿宋"/>
          <w:b w:val="0"/>
          <w:bCs w:val="0"/>
          <w:kern w:val="0"/>
          <w:sz w:val="30"/>
          <w:szCs w:val="30"/>
          <w:shd w:val="clear" w:color="auto" w:fill="FFFFFF"/>
        </w:rPr>
        <w:t>公务接待费0.64万元。其中：</w:t>
      </w:r>
    </w:p>
    <w:p>
      <w:pPr>
        <w:widowControl/>
        <w:snapToGrid w:val="0"/>
        <w:spacing w:after="100" w:afterAutospacing="1" w:line="360" w:lineRule="auto"/>
        <w:ind w:firstLine="602"/>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国内接待费支出0.64万元（其中：外事接待费支出0.00万元），共安排国内公务接待8批次（其中：外事接待0批次），接待人次33人（其中：外事接待人次0人）。</w:t>
      </w:r>
    </w:p>
    <w:p>
      <w:pPr>
        <w:widowControl/>
        <w:snapToGrid w:val="0"/>
        <w:spacing w:after="100" w:afterAutospacing="1" w:line="360" w:lineRule="auto"/>
        <w:ind w:firstLine="602"/>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国（境）外接待费0.00万元，共安排国（境）外公务接待0批次，接待人次0人。</w:t>
      </w:r>
    </w:p>
    <w:p>
      <w:pPr>
        <w:widowControl/>
        <w:snapToGrid w:val="0"/>
        <w:spacing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32"/>
          <w:szCs w:val="32"/>
          <w:shd w:val="clear" w:color="auto" w:fill="FFFFFF"/>
        </w:rPr>
        <w:t>第四部分 其他重要事项及相关口径情况说明</w:t>
      </w:r>
    </w:p>
    <w:p>
      <w:pPr>
        <w:widowControl/>
        <w:snapToGrid w:val="0"/>
        <w:spacing w:after="100" w:afterAutospacing="1" w:line="360" w:lineRule="auto"/>
        <w:ind w:firstLine="6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一、机关运行经费支出情况</w:t>
      </w:r>
    </w:p>
    <w:p>
      <w:pPr>
        <w:widowControl/>
        <w:snapToGrid w:val="0"/>
        <w:spacing w:line="360" w:lineRule="auto"/>
        <w:ind w:firstLine="600" w:firstLineChars="2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迪庆藏族自治州农业科学研究院2020年机关运行经费支出0.00万元，与上年对比增加0万元。</w:t>
      </w:r>
    </w:p>
    <w:p>
      <w:pPr>
        <w:widowControl/>
        <w:snapToGrid w:val="0"/>
        <w:spacing w:after="100" w:afterAutospacing="1" w:line="360" w:lineRule="auto"/>
        <w:ind w:firstLine="600" w:firstLineChars="2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二、</w:t>
      </w:r>
      <w:r>
        <w:rPr>
          <w:rFonts w:hint="eastAsia" w:ascii="仿宋" w:hAnsi="仿宋" w:eastAsia="仿宋" w:cs="仿宋"/>
          <w:b w:val="0"/>
          <w:bCs w:val="0"/>
          <w:color w:val="000000"/>
          <w:kern w:val="0"/>
          <w:sz w:val="30"/>
          <w:szCs w:val="30"/>
          <w:shd w:val="clear" w:color="auto" w:fill="FFFFFF"/>
        </w:rPr>
        <w:t>国有资产占用情况</w:t>
      </w:r>
    </w:p>
    <w:p>
      <w:pPr>
        <w:widowControl/>
        <w:snapToGrid w:val="0"/>
        <w:spacing w:after="100" w:afterAutospacing="1" w:line="360" w:lineRule="auto"/>
        <w:ind w:firstLine="6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截至2020年12月31日，迪庆藏族自治州农业科学研究院资产总额</w:t>
      </w:r>
      <w:r>
        <w:rPr>
          <w:rFonts w:hint="eastAsia" w:ascii="仿宋" w:hAnsi="仿宋" w:eastAsia="仿宋" w:cs="仿宋"/>
          <w:b w:val="0"/>
          <w:bCs w:val="0"/>
          <w:kern w:val="0"/>
          <w:sz w:val="30"/>
          <w:szCs w:val="30"/>
          <w:shd w:val="clear" w:color="auto" w:fill="FFFFFF"/>
          <w:lang w:val="en-US" w:eastAsia="zh-CN"/>
        </w:rPr>
        <w:t>1641.37</w:t>
      </w:r>
      <w:r>
        <w:rPr>
          <w:rFonts w:hint="eastAsia" w:ascii="仿宋" w:hAnsi="仿宋" w:eastAsia="仿宋" w:cs="仿宋"/>
          <w:b w:val="0"/>
          <w:bCs w:val="0"/>
          <w:kern w:val="0"/>
          <w:sz w:val="30"/>
          <w:szCs w:val="30"/>
          <w:shd w:val="clear" w:color="auto" w:fill="FFFFFF"/>
        </w:rPr>
        <w:t>万元，其中，</w:t>
      </w:r>
      <w:r>
        <w:rPr>
          <w:rFonts w:hint="eastAsia" w:ascii="仿宋" w:hAnsi="仿宋" w:eastAsia="仿宋" w:cs="仿宋"/>
          <w:b w:val="0"/>
          <w:bCs w:val="0"/>
          <w:kern w:val="0"/>
          <w:sz w:val="30"/>
          <w:szCs w:val="30"/>
          <w:shd w:val="clear" w:color="auto" w:fill="FFFFFF"/>
          <w:lang w:eastAsia="zh-CN"/>
        </w:rPr>
        <w:t>流动</w:t>
      </w:r>
      <w:r>
        <w:rPr>
          <w:rFonts w:hint="eastAsia" w:ascii="仿宋" w:hAnsi="仿宋" w:eastAsia="仿宋" w:cs="仿宋"/>
          <w:b w:val="0"/>
          <w:bCs w:val="0"/>
          <w:kern w:val="0"/>
          <w:sz w:val="30"/>
          <w:szCs w:val="30"/>
          <w:shd w:val="clear" w:color="auto" w:fill="FFFFFF"/>
        </w:rPr>
        <w:t>资产</w:t>
      </w:r>
      <w:r>
        <w:rPr>
          <w:rFonts w:hint="eastAsia" w:ascii="仿宋" w:hAnsi="仿宋" w:eastAsia="仿宋" w:cs="仿宋"/>
          <w:b w:val="0"/>
          <w:bCs w:val="0"/>
          <w:kern w:val="0"/>
          <w:sz w:val="30"/>
          <w:szCs w:val="30"/>
          <w:shd w:val="clear" w:color="auto" w:fill="FFFFFF"/>
          <w:lang w:val="en-US" w:eastAsia="zh-CN"/>
        </w:rPr>
        <w:t>193.39</w:t>
      </w:r>
      <w:r>
        <w:rPr>
          <w:rFonts w:hint="eastAsia" w:ascii="仿宋" w:hAnsi="仿宋" w:eastAsia="仿宋" w:cs="仿宋"/>
          <w:b w:val="0"/>
          <w:bCs w:val="0"/>
          <w:kern w:val="0"/>
          <w:sz w:val="30"/>
          <w:szCs w:val="30"/>
          <w:shd w:val="clear" w:color="auto" w:fill="FFFFFF"/>
        </w:rPr>
        <w:t>万元</w:t>
      </w:r>
      <w:r>
        <w:rPr>
          <w:rFonts w:hint="eastAsia" w:ascii="仿宋" w:hAnsi="仿宋" w:eastAsia="仿宋" w:cs="仿宋"/>
          <w:b w:val="0"/>
          <w:bCs w:val="0"/>
          <w:kern w:val="0"/>
          <w:sz w:val="30"/>
          <w:szCs w:val="30"/>
          <w:shd w:val="clear" w:color="auto" w:fill="FFFFFF"/>
          <w:lang w:eastAsia="zh-CN"/>
        </w:rPr>
        <w:t>，</w:t>
      </w:r>
      <w:r>
        <w:rPr>
          <w:rFonts w:hint="eastAsia" w:ascii="仿宋" w:hAnsi="仿宋" w:eastAsia="仿宋" w:cs="仿宋"/>
          <w:b w:val="0"/>
          <w:bCs w:val="0"/>
          <w:kern w:val="0"/>
          <w:sz w:val="30"/>
          <w:szCs w:val="30"/>
          <w:shd w:val="clear" w:color="auto" w:fill="FFFFFF"/>
        </w:rPr>
        <w:t>固定资产</w:t>
      </w:r>
      <w:r>
        <w:rPr>
          <w:rFonts w:hint="eastAsia" w:ascii="仿宋" w:hAnsi="仿宋" w:eastAsia="仿宋" w:cs="仿宋"/>
          <w:b w:val="0"/>
          <w:bCs w:val="0"/>
          <w:kern w:val="0"/>
          <w:sz w:val="30"/>
          <w:szCs w:val="30"/>
          <w:shd w:val="clear" w:color="auto" w:fill="FFFFFF"/>
          <w:lang w:val="en-US" w:eastAsia="zh-CN"/>
        </w:rPr>
        <w:t>1447.98</w:t>
      </w:r>
      <w:r>
        <w:rPr>
          <w:rFonts w:hint="eastAsia" w:ascii="仿宋" w:hAnsi="仿宋" w:eastAsia="仿宋" w:cs="仿宋"/>
          <w:b w:val="0"/>
          <w:bCs w:val="0"/>
          <w:kern w:val="0"/>
          <w:sz w:val="30"/>
          <w:szCs w:val="30"/>
          <w:shd w:val="clear" w:color="auto" w:fill="FFFFFF"/>
        </w:rPr>
        <w:t>万元，对外投资及有价证券0万元，在建工程0元，其他资产0元（具体内容详见附表）</w:t>
      </w:r>
      <w:r>
        <w:rPr>
          <w:rFonts w:hint="eastAsia" w:ascii="仿宋" w:hAnsi="仿宋" w:eastAsia="仿宋" w:cs="仿宋"/>
          <w:b w:val="0"/>
          <w:bCs w:val="0"/>
          <w:kern w:val="0"/>
          <w:sz w:val="30"/>
          <w:szCs w:val="30"/>
          <w:shd w:val="clear" w:color="auto" w:fill="FFFFFF"/>
          <w:lang w:eastAsia="zh-CN"/>
        </w:rPr>
        <w:t>，无形</w:t>
      </w:r>
      <w:r>
        <w:rPr>
          <w:rFonts w:hint="eastAsia" w:ascii="仿宋" w:hAnsi="仿宋" w:eastAsia="仿宋" w:cs="仿宋"/>
          <w:b w:val="0"/>
          <w:bCs w:val="0"/>
          <w:kern w:val="0"/>
          <w:sz w:val="30"/>
          <w:szCs w:val="30"/>
          <w:shd w:val="clear" w:color="auto" w:fill="FFFFFF"/>
        </w:rPr>
        <w:t>资产</w:t>
      </w:r>
      <w:r>
        <w:rPr>
          <w:rFonts w:hint="eastAsia" w:ascii="仿宋" w:hAnsi="仿宋" w:eastAsia="仿宋" w:cs="仿宋"/>
          <w:b w:val="0"/>
          <w:bCs w:val="0"/>
          <w:kern w:val="0"/>
          <w:sz w:val="30"/>
          <w:szCs w:val="30"/>
          <w:shd w:val="clear" w:color="auto" w:fill="FFFFFF"/>
          <w:lang w:val="en-US" w:eastAsia="zh-CN"/>
        </w:rPr>
        <w:t>24.94</w:t>
      </w:r>
      <w:r>
        <w:rPr>
          <w:rFonts w:hint="eastAsia" w:ascii="仿宋" w:hAnsi="仿宋" w:eastAsia="仿宋" w:cs="仿宋"/>
          <w:b w:val="0"/>
          <w:bCs w:val="0"/>
          <w:kern w:val="0"/>
          <w:sz w:val="30"/>
          <w:szCs w:val="30"/>
          <w:shd w:val="clear" w:color="auto" w:fill="FFFFFF"/>
        </w:rPr>
        <w:t>万元。与上年相比，本年资产总额增加</w:t>
      </w:r>
      <w:r>
        <w:rPr>
          <w:rFonts w:hint="eastAsia" w:ascii="仿宋" w:hAnsi="仿宋" w:eastAsia="仿宋" w:cs="仿宋"/>
          <w:b w:val="0"/>
          <w:bCs w:val="0"/>
          <w:kern w:val="0"/>
          <w:sz w:val="30"/>
          <w:szCs w:val="30"/>
          <w:shd w:val="clear" w:color="auto" w:fill="FFFFFF"/>
          <w:lang w:val="en-US" w:eastAsia="zh-CN"/>
        </w:rPr>
        <w:t>11.57</w:t>
      </w:r>
      <w:r>
        <w:rPr>
          <w:rFonts w:hint="eastAsia" w:ascii="仿宋" w:hAnsi="仿宋" w:eastAsia="仿宋" w:cs="仿宋"/>
          <w:b w:val="0"/>
          <w:bCs w:val="0"/>
          <w:kern w:val="0"/>
          <w:sz w:val="30"/>
          <w:szCs w:val="30"/>
          <w:shd w:val="clear" w:color="auto" w:fill="FFFFFF"/>
        </w:rPr>
        <w:t>万元，其中固定资产增加</w:t>
      </w:r>
      <w:r>
        <w:rPr>
          <w:rFonts w:hint="eastAsia" w:ascii="仿宋" w:hAnsi="仿宋" w:eastAsia="仿宋" w:cs="仿宋"/>
          <w:b w:val="0"/>
          <w:bCs w:val="0"/>
          <w:kern w:val="0"/>
          <w:sz w:val="30"/>
          <w:szCs w:val="30"/>
          <w:shd w:val="clear" w:color="auto" w:fill="FFFFFF"/>
          <w:lang w:val="en-US" w:eastAsia="zh-CN"/>
        </w:rPr>
        <w:t>11.57</w:t>
      </w:r>
      <w:r>
        <w:rPr>
          <w:rFonts w:hint="eastAsia" w:ascii="仿宋" w:hAnsi="仿宋" w:eastAsia="仿宋" w:cs="仿宋"/>
          <w:b w:val="0"/>
          <w:bCs w:val="0"/>
          <w:kern w:val="0"/>
          <w:sz w:val="30"/>
          <w:szCs w:val="30"/>
          <w:shd w:val="clear" w:color="auto" w:fill="FFFFFF"/>
        </w:rPr>
        <w:t>万元。处置房屋建筑物0平方米，账面原值0万元；处置车辆0辆，账面原值0万元；报废报损资产0项，账面原值0万元，实现资产处置收入0万元。</w:t>
      </w:r>
      <w:r>
        <w:rPr>
          <w:rFonts w:hint="eastAsia" w:ascii="仿宋" w:hAnsi="仿宋" w:eastAsia="仿宋" w:cs="仿宋"/>
          <w:b w:val="0"/>
          <w:bCs w:val="0"/>
          <w:kern w:val="0"/>
          <w:sz w:val="24"/>
          <w:szCs w:val="24"/>
          <w:shd w:val="clear" w:color="auto" w:fill="FFFFFF"/>
        </w:rPr>
        <w:t xml:space="preserve"> </w:t>
      </w:r>
    </w:p>
    <w:tbl>
      <w:tblPr>
        <w:tblStyle w:val="5"/>
        <w:tblpPr w:leftFromText="180" w:rightFromText="180" w:vertAnchor="text" w:horzAnchor="page" w:tblpX="1081" w:tblpY="51"/>
        <w:tblOverlap w:val="never"/>
        <w:tblW w:w="9102" w:type="dxa"/>
        <w:tblInd w:w="0" w:type="dxa"/>
        <w:tblLayout w:type="fixed"/>
        <w:tblCellMar>
          <w:top w:w="0" w:type="dxa"/>
          <w:left w:w="0" w:type="dxa"/>
          <w:bottom w:w="0" w:type="dxa"/>
          <w:right w:w="0" w:type="dxa"/>
        </w:tblCellMar>
      </w:tblPr>
      <w:tblGrid>
        <w:gridCol w:w="609"/>
        <w:gridCol w:w="425"/>
        <w:gridCol w:w="918"/>
        <w:gridCol w:w="900"/>
        <w:gridCol w:w="962"/>
        <w:gridCol w:w="944"/>
        <w:gridCol w:w="724"/>
        <w:gridCol w:w="423"/>
        <w:gridCol w:w="854"/>
        <w:gridCol w:w="511"/>
        <w:gridCol w:w="539"/>
        <w:gridCol w:w="723"/>
        <w:gridCol w:w="480"/>
        <w:gridCol w:w="90"/>
      </w:tblGrid>
      <w:tr>
        <w:tblPrEx>
          <w:tblCellMar>
            <w:top w:w="0" w:type="dxa"/>
            <w:left w:w="0" w:type="dxa"/>
            <w:bottom w:w="0" w:type="dxa"/>
            <w:right w:w="0" w:type="dxa"/>
          </w:tblCellMar>
        </w:tblPrEx>
        <w:trPr>
          <w:trHeight w:val="390" w:hRule="atLeast"/>
        </w:trPr>
        <w:tc>
          <w:tcPr>
            <w:tcW w:w="9012" w:type="dxa"/>
            <w:gridSpan w:val="13"/>
            <w:tcBorders>
              <w:top w:val="nil"/>
              <w:left w:val="nil"/>
              <w:bottom w:val="nil"/>
              <w:right w:val="nil"/>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30"/>
                <w:szCs w:val="30"/>
              </w:rPr>
              <w:t>国有资产占有使用情况表</w:t>
            </w:r>
          </w:p>
        </w:tc>
        <w:tc>
          <w:tcPr>
            <w:tcW w:w="90" w:type="dxa"/>
            <w:tcBorders>
              <w:top w:val="nil"/>
              <w:left w:val="nil"/>
              <w:bottom w:val="nil"/>
              <w:right w:val="nil"/>
            </w:tcBorders>
            <w:vAlign w:val="center"/>
          </w:tcPr>
          <w:p>
            <w:pPr>
              <w:widowControl/>
              <w:spacing w:line="360" w:lineRule="auto"/>
              <w:jc w:val="left"/>
              <w:rPr>
                <w:rFonts w:hint="eastAsia" w:ascii="仿宋" w:hAnsi="仿宋" w:eastAsia="仿宋" w:cs="仿宋"/>
                <w:b w:val="0"/>
                <w:bCs w:val="0"/>
                <w:kern w:val="0"/>
                <w:sz w:val="24"/>
                <w:szCs w:val="24"/>
              </w:rPr>
            </w:pPr>
          </w:p>
        </w:tc>
      </w:tr>
      <w:tr>
        <w:tblPrEx>
          <w:tblCellMar>
            <w:top w:w="0" w:type="dxa"/>
            <w:left w:w="0" w:type="dxa"/>
            <w:bottom w:w="0" w:type="dxa"/>
            <w:right w:w="0" w:type="dxa"/>
          </w:tblCellMar>
        </w:tblPrEx>
        <w:trPr>
          <w:trHeight w:val="270" w:hRule="atLeast"/>
        </w:trPr>
        <w:tc>
          <w:tcPr>
            <w:tcW w:w="5905" w:type="dxa"/>
            <w:gridSpan w:val="8"/>
            <w:tcBorders>
              <w:top w:val="nil"/>
              <w:left w:val="nil"/>
              <w:bottom w:val="nil"/>
              <w:right w:val="nil"/>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仿宋" w:hAnsi="仿宋" w:eastAsia="仿宋" w:cs="仿宋"/>
                <w:b w:val="0"/>
                <w:bCs w:val="0"/>
                <w:kern w:val="0"/>
                <w:sz w:val="24"/>
                <w:szCs w:val="24"/>
              </w:rPr>
            </w:pPr>
          </w:p>
        </w:tc>
        <w:tc>
          <w:tcPr>
            <w:tcW w:w="854" w:type="dxa"/>
            <w:tcBorders>
              <w:top w:val="nil"/>
              <w:left w:val="nil"/>
              <w:bottom w:val="single" w:color="auto" w:sz="8" w:space="0"/>
              <w:right w:val="nil"/>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　</w:t>
            </w:r>
          </w:p>
        </w:tc>
        <w:tc>
          <w:tcPr>
            <w:tcW w:w="2253" w:type="dxa"/>
            <w:gridSpan w:val="4"/>
            <w:tcBorders>
              <w:top w:val="nil"/>
              <w:left w:val="nil"/>
              <w:bottom w:val="single" w:color="auto" w:sz="8" w:space="0"/>
              <w:right w:val="nil"/>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uto"/>
              <w:jc w:val="right"/>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单位：万元</w:t>
            </w:r>
          </w:p>
        </w:tc>
        <w:tc>
          <w:tcPr>
            <w:tcW w:w="90" w:type="dxa"/>
            <w:tcBorders>
              <w:top w:val="nil"/>
              <w:left w:val="nil"/>
              <w:bottom w:val="nil"/>
              <w:right w:val="nil"/>
            </w:tcBorders>
            <w:vAlign w:val="center"/>
          </w:tcPr>
          <w:p>
            <w:pPr>
              <w:widowControl/>
              <w:spacing w:line="360" w:lineRule="auto"/>
              <w:jc w:val="left"/>
              <w:rPr>
                <w:rFonts w:hint="eastAsia" w:ascii="仿宋" w:hAnsi="仿宋" w:eastAsia="仿宋" w:cs="仿宋"/>
                <w:b w:val="0"/>
                <w:bCs w:val="0"/>
                <w:kern w:val="0"/>
                <w:sz w:val="24"/>
                <w:szCs w:val="24"/>
              </w:rPr>
            </w:pPr>
          </w:p>
        </w:tc>
      </w:tr>
      <w:tr>
        <w:tblPrEx>
          <w:tblCellMar>
            <w:top w:w="0" w:type="dxa"/>
            <w:left w:w="0" w:type="dxa"/>
            <w:bottom w:w="0" w:type="dxa"/>
            <w:right w:w="0" w:type="dxa"/>
          </w:tblCellMar>
        </w:tblPrEx>
        <w:trPr>
          <w:trHeight w:val="270" w:hRule="atLeast"/>
        </w:trPr>
        <w:tc>
          <w:tcPr>
            <w:tcW w:w="60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项目</w:t>
            </w:r>
          </w:p>
        </w:tc>
        <w:tc>
          <w:tcPr>
            <w:tcW w:w="42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行次</w:t>
            </w:r>
          </w:p>
        </w:tc>
        <w:tc>
          <w:tcPr>
            <w:tcW w:w="91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资产总额</w:t>
            </w:r>
          </w:p>
        </w:tc>
        <w:tc>
          <w:tcPr>
            <w:tcW w:w="90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流动资产</w:t>
            </w:r>
          </w:p>
        </w:tc>
        <w:tc>
          <w:tcPr>
            <w:tcW w:w="39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固定资产</w:t>
            </w:r>
          </w:p>
        </w:tc>
        <w:tc>
          <w:tcPr>
            <w:tcW w:w="51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对外投资/有价证券</w:t>
            </w:r>
          </w:p>
        </w:tc>
        <w:tc>
          <w:tcPr>
            <w:tcW w:w="5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在建工程</w:t>
            </w:r>
          </w:p>
        </w:tc>
        <w:tc>
          <w:tcPr>
            <w:tcW w:w="7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无形资产</w:t>
            </w:r>
          </w:p>
        </w:tc>
        <w:tc>
          <w:tcPr>
            <w:tcW w:w="4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其他资产</w:t>
            </w:r>
          </w:p>
        </w:tc>
        <w:tc>
          <w:tcPr>
            <w:tcW w:w="90" w:type="dxa"/>
            <w:tcBorders>
              <w:top w:val="nil"/>
              <w:left w:val="nil"/>
              <w:bottom w:val="nil"/>
              <w:right w:val="nil"/>
            </w:tcBorders>
            <w:vAlign w:val="center"/>
          </w:tcPr>
          <w:p>
            <w:pPr>
              <w:widowControl/>
              <w:spacing w:line="360" w:lineRule="auto"/>
              <w:jc w:val="left"/>
              <w:rPr>
                <w:rFonts w:hint="eastAsia" w:ascii="仿宋" w:hAnsi="仿宋" w:eastAsia="仿宋" w:cs="仿宋"/>
                <w:b w:val="0"/>
                <w:bCs w:val="0"/>
                <w:kern w:val="0"/>
                <w:sz w:val="24"/>
                <w:szCs w:val="24"/>
              </w:rPr>
            </w:pPr>
          </w:p>
        </w:tc>
      </w:tr>
      <w:tr>
        <w:tblPrEx>
          <w:tblCellMar>
            <w:top w:w="0" w:type="dxa"/>
            <w:left w:w="0" w:type="dxa"/>
            <w:bottom w:w="0" w:type="dxa"/>
            <w:right w:w="0" w:type="dxa"/>
          </w:tblCellMar>
        </w:tblPrEx>
        <w:trPr>
          <w:trHeight w:val="270" w:hRule="atLeast"/>
        </w:trPr>
        <w:tc>
          <w:tcPr>
            <w:tcW w:w="60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auto"/>
              <w:jc w:val="left"/>
              <w:rPr>
                <w:rFonts w:hint="eastAsia" w:ascii="仿宋" w:hAnsi="仿宋" w:eastAsia="仿宋" w:cs="仿宋"/>
                <w:b w:val="0"/>
                <w:bCs w:val="0"/>
                <w:kern w:val="0"/>
                <w:sz w:val="24"/>
                <w:szCs w:val="24"/>
              </w:rPr>
            </w:pPr>
          </w:p>
        </w:tc>
        <w:tc>
          <w:tcPr>
            <w:tcW w:w="425" w:type="dxa"/>
            <w:vMerge w:val="continue"/>
            <w:tcBorders>
              <w:top w:val="nil"/>
              <w:left w:val="nil"/>
              <w:bottom w:val="single" w:color="auto" w:sz="8" w:space="0"/>
              <w:right w:val="single" w:color="auto" w:sz="8" w:space="0"/>
            </w:tcBorders>
            <w:vAlign w:val="center"/>
          </w:tcPr>
          <w:p>
            <w:pPr>
              <w:widowControl/>
              <w:spacing w:line="360" w:lineRule="auto"/>
              <w:jc w:val="left"/>
              <w:rPr>
                <w:rFonts w:hint="eastAsia" w:ascii="仿宋" w:hAnsi="仿宋" w:eastAsia="仿宋" w:cs="仿宋"/>
                <w:b w:val="0"/>
                <w:bCs w:val="0"/>
                <w:kern w:val="0"/>
                <w:sz w:val="24"/>
                <w:szCs w:val="24"/>
              </w:rPr>
            </w:pPr>
          </w:p>
        </w:tc>
        <w:tc>
          <w:tcPr>
            <w:tcW w:w="918" w:type="dxa"/>
            <w:vMerge w:val="continue"/>
            <w:tcBorders>
              <w:top w:val="nil"/>
              <w:left w:val="nil"/>
              <w:bottom w:val="single" w:color="auto" w:sz="8" w:space="0"/>
              <w:right w:val="single" w:color="auto" w:sz="8" w:space="0"/>
            </w:tcBorders>
            <w:vAlign w:val="center"/>
          </w:tcPr>
          <w:p>
            <w:pPr>
              <w:widowControl/>
              <w:spacing w:line="360" w:lineRule="auto"/>
              <w:jc w:val="left"/>
              <w:rPr>
                <w:rFonts w:hint="eastAsia" w:ascii="仿宋" w:hAnsi="仿宋" w:eastAsia="仿宋" w:cs="仿宋"/>
                <w:b w:val="0"/>
                <w:bCs w:val="0"/>
                <w:kern w:val="0"/>
                <w:sz w:val="24"/>
                <w:szCs w:val="24"/>
              </w:rPr>
            </w:pPr>
          </w:p>
        </w:tc>
        <w:tc>
          <w:tcPr>
            <w:tcW w:w="900" w:type="dxa"/>
            <w:vMerge w:val="continue"/>
            <w:tcBorders>
              <w:top w:val="single" w:color="auto" w:sz="8" w:space="0"/>
              <w:left w:val="nil"/>
              <w:bottom w:val="single" w:color="auto" w:sz="8" w:space="0"/>
              <w:right w:val="single" w:color="auto" w:sz="8" w:space="0"/>
            </w:tcBorders>
            <w:vAlign w:val="center"/>
          </w:tcPr>
          <w:p>
            <w:pPr>
              <w:widowControl/>
              <w:spacing w:line="360" w:lineRule="auto"/>
              <w:jc w:val="left"/>
              <w:rPr>
                <w:rFonts w:hint="eastAsia" w:ascii="仿宋" w:hAnsi="仿宋" w:eastAsia="仿宋" w:cs="仿宋"/>
                <w:b w:val="0"/>
                <w:bCs w:val="0"/>
                <w:kern w:val="0"/>
                <w:sz w:val="24"/>
                <w:szCs w:val="24"/>
              </w:rPr>
            </w:pPr>
          </w:p>
        </w:tc>
        <w:tc>
          <w:tcPr>
            <w:tcW w:w="96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小计</w:t>
            </w:r>
          </w:p>
        </w:tc>
        <w:tc>
          <w:tcPr>
            <w:tcW w:w="94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房屋构筑物</w:t>
            </w:r>
          </w:p>
        </w:tc>
        <w:tc>
          <w:tcPr>
            <w:tcW w:w="72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车辆</w:t>
            </w:r>
          </w:p>
        </w:tc>
        <w:tc>
          <w:tcPr>
            <w:tcW w:w="42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单价200万以上大型设备</w:t>
            </w: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其他固定资产</w:t>
            </w:r>
          </w:p>
        </w:tc>
        <w:tc>
          <w:tcPr>
            <w:tcW w:w="511" w:type="dxa"/>
            <w:vMerge w:val="continue"/>
            <w:tcBorders>
              <w:top w:val="nil"/>
              <w:left w:val="nil"/>
              <w:bottom w:val="single" w:color="auto" w:sz="8" w:space="0"/>
              <w:right w:val="single" w:color="auto" w:sz="8" w:space="0"/>
            </w:tcBorders>
            <w:vAlign w:val="center"/>
          </w:tcPr>
          <w:p>
            <w:pPr>
              <w:widowControl/>
              <w:spacing w:line="360" w:lineRule="auto"/>
              <w:jc w:val="left"/>
              <w:rPr>
                <w:rFonts w:hint="eastAsia" w:ascii="仿宋" w:hAnsi="仿宋" w:eastAsia="仿宋" w:cs="仿宋"/>
                <w:b w:val="0"/>
                <w:bCs w:val="0"/>
                <w:kern w:val="0"/>
                <w:sz w:val="24"/>
                <w:szCs w:val="24"/>
              </w:rPr>
            </w:pPr>
          </w:p>
        </w:tc>
        <w:tc>
          <w:tcPr>
            <w:tcW w:w="539" w:type="dxa"/>
            <w:vMerge w:val="restart"/>
            <w:tcBorders>
              <w:top w:val="nil"/>
              <w:left w:val="nil"/>
              <w:right w:val="single" w:color="auto" w:sz="8" w:space="0"/>
            </w:tcBorders>
            <w:vAlign w:val="center"/>
          </w:tcPr>
          <w:p>
            <w:pPr>
              <w:widowControl/>
              <w:spacing w:line="360" w:lineRule="auto"/>
              <w:jc w:val="left"/>
              <w:rPr>
                <w:rFonts w:hint="eastAsia" w:ascii="仿宋" w:hAnsi="仿宋" w:eastAsia="仿宋" w:cs="仿宋"/>
                <w:b w:val="0"/>
                <w:bCs w:val="0"/>
                <w:kern w:val="0"/>
                <w:sz w:val="24"/>
                <w:szCs w:val="24"/>
              </w:rPr>
            </w:pPr>
          </w:p>
        </w:tc>
        <w:tc>
          <w:tcPr>
            <w:tcW w:w="723" w:type="dxa"/>
            <w:vMerge w:val="restart"/>
            <w:tcBorders>
              <w:top w:val="nil"/>
              <w:left w:val="nil"/>
              <w:right w:val="single" w:color="auto" w:sz="8" w:space="0"/>
            </w:tcBorders>
            <w:vAlign w:val="center"/>
          </w:tcPr>
          <w:p>
            <w:pPr>
              <w:widowControl/>
              <w:spacing w:line="360" w:lineRule="auto"/>
              <w:jc w:val="left"/>
              <w:rPr>
                <w:rFonts w:hint="eastAsia" w:ascii="仿宋" w:hAnsi="仿宋" w:eastAsia="仿宋" w:cs="仿宋"/>
                <w:b w:val="0"/>
                <w:bCs w:val="0"/>
                <w:kern w:val="0"/>
                <w:sz w:val="24"/>
                <w:szCs w:val="24"/>
              </w:rPr>
            </w:pPr>
          </w:p>
        </w:tc>
        <w:tc>
          <w:tcPr>
            <w:tcW w:w="480" w:type="dxa"/>
            <w:vMerge w:val="restart"/>
            <w:tcBorders>
              <w:top w:val="nil"/>
              <w:left w:val="nil"/>
              <w:right w:val="single" w:color="auto" w:sz="8" w:space="0"/>
            </w:tcBorders>
            <w:vAlign w:val="center"/>
          </w:tcPr>
          <w:p>
            <w:pPr>
              <w:widowControl/>
              <w:spacing w:line="360" w:lineRule="auto"/>
              <w:jc w:val="left"/>
              <w:rPr>
                <w:rFonts w:hint="eastAsia" w:ascii="仿宋" w:hAnsi="仿宋" w:eastAsia="仿宋" w:cs="仿宋"/>
                <w:b w:val="0"/>
                <w:bCs w:val="0"/>
                <w:kern w:val="0"/>
                <w:sz w:val="24"/>
                <w:szCs w:val="24"/>
              </w:rPr>
            </w:pPr>
          </w:p>
        </w:tc>
        <w:tc>
          <w:tcPr>
            <w:tcW w:w="90" w:type="dxa"/>
            <w:tcBorders>
              <w:top w:val="nil"/>
              <w:left w:val="nil"/>
              <w:bottom w:val="nil"/>
              <w:right w:val="nil"/>
            </w:tcBorders>
            <w:vAlign w:val="center"/>
          </w:tcPr>
          <w:p>
            <w:pPr>
              <w:widowControl/>
              <w:spacing w:line="360" w:lineRule="auto"/>
              <w:jc w:val="left"/>
              <w:rPr>
                <w:rFonts w:hint="eastAsia" w:ascii="仿宋" w:hAnsi="仿宋" w:eastAsia="仿宋" w:cs="仿宋"/>
                <w:b w:val="0"/>
                <w:bCs w:val="0"/>
                <w:kern w:val="0"/>
                <w:sz w:val="24"/>
                <w:szCs w:val="24"/>
              </w:rPr>
            </w:pPr>
          </w:p>
        </w:tc>
      </w:tr>
      <w:tr>
        <w:tblPrEx>
          <w:tblCellMar>
            <w:top w:w="0" w:type="dxa"/>
            <w:left w:w="0" w:type="dxa"/>
            <w:bottom w:w="0" w:type="dxa"/>
            <w:right w:w="0" w:type="dxa"/>
          </w:tblCellMar>
        </w:tblPrEx>
        <w:trPr>
          <w:trHeight w:val="260" w:hRule="atLeast"/>
        </w:trPr>
        <w:tc>
          <w:tcPr>
            <w:tcW w:w="60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auto"/>
              <w:jc w:val="left"/>
              <w:rPr>
                <w:rFonts w:hint="eastAsia" w:ascii="仿宋" w:hAnsi="仿宋" w:eastAsia="仿宋" w:cs="仿宋"/>
                <w:b w:val="0"/>
                <w:bCs w:val="0"/>
                <w:kern w:val="0"/>
                <w:sz w:val="24"/>
                <w:szCs w:val="24"/>
              </w:rPr>
            </w:pPr>
          </w:p>
        </w:tc>
        <w:tc>
          <w:tcPr>
            <w:tcW w:w="425" w:type="dxa"/>
            <w:vMerge w:val="continue"/>
            <w:tcBorders>
              <w:top w:val="nil"/>
              <w:left w:val="nil"/>
              <w:bottom w:val="single" w:color="auto" w:sz="8" w:space="0"/>
              <w:right w:val="single" w:color="auto" w:sz="8" w:space="0"/>
            </w:tcBorders>
            <w:vAlign w:val="center"/>
          </w:tcPr>
          <w:p>
            <w:pPr>
              <w:widowControl/>
              <w:spacing w:line="360" w:lineRule="auto"/>
              <w:jc w:val="left"/>
              <w:rPr>
                <w:rFonts w:hint="eastAsia" w:ascii="仿宋" w:hAnsi="仿宋" w:eastAsia="仿宋" w:cs="仿宋"/>
                <w:b w:val="0"/>
                <w:bCs w:val="0"/>
                <w:kern w:val="0"/>
                <w:sz w:val="24"/>
                <w:szCs w:val="24"/>
              </w:rPr>
            </w:pPr>
          </w:p>
        </w:tc>
        <w:tc>
          <w:tcPr>
            <w:tcW w:w="918" w:type="dxa"/>
            <w:vMerge w:val="continue"/>
            <w:tcBorders>
              <w:top w:val="nil"/>
              <w:left w:val="nil"/>
              <w:bottom w:val="single" w:color="auto" w:sz="8" w:space="0"/>
              <w:right w:val="single" w:color="auto" w:sz="8" w:space="0"/>
            </w:tcBorders>
            <w:vAlign w:val="center"/>
          </w:tcPr>
          <w:p>
            <w:pPr>
              <w:widowControl/>
              <w:spacing w:line="360" w:lineRule="auto"/>
              <w:jc w:val="left"/>
              <w:rPr>
                <w:rFonts w:hint="eastAsia" w:ascii="仿宋" w:hAnsi="仿宋" w:eastAsia="仿宋" w:cs="仿宋"/>
                <w:b w:val="0"/>
                <w:bCs w:val="0"/>
                <w:kern w:val="0"/>
                <w:sz w:val="24"/>
                <w:szCs w:val="24"/>
              </w:rPr>
            </w:pPr>
          </w:p>
        </w:tc>
        <w:tc>
          <w:tcPr>
            <w:tcW w:w="900" w:type="dxa"/>
            <w:vMerge w:val="continue"/>
            <w:tcBorders>
              <w:top w:val="single" w:color="auto" w:sz="8" w:space="0"/>
              <w:left w:val="nil"/>
              <w:bottom w:val="single" w:color="auto" w:sz="8" w:space="0"/>
              <w:right w:val="single" w:color="auto" w:sz="8" w:space="0"/>
            </w:tcBorders>
            <w:vAlign w:val="center"/>
          </w:tcPr>
          <w:p>
            <w:pPr>
              <w:widowControl/>
              <w:spacing w:line="360" w:lineRule="auto"/>
              <w:jc w:val="left"/>
              <w:rPr>
                <w:rFonts w:hint="eastAsia" w:ascii="仿宋" w:hAnsi="仿宋" w:eastAsia="仿宋" w:cs="仿宋"/>
                <w:b w:val="0"/>
                <w:bCs w:val="0"/>
                <w:kern w:val="0"/>
                <w:sz w:val="24"/>
                <w:szCs w:val="24"/>
              </w:rPr>
            </w:pPr>
          </w:p>
        </w:tc>
        <w:tc>
          <w:tcPr>
            <w:tcW w:w="962" w:type="dxa"/>
            <w:vMerge w:val="continue"/>
            <w:tcBorders>
              <w:top w:val="nil"/>
              <w:left w:val="nil"/>
              <w:bottom w:val="single" w:color="auto" w:sz="8" w:space="0"/>
              <w:right w:val="single" w:color="auto" w:sz="8" w:space="0"/>
            </w:tcBorders>
            <w:vAlign w:val="center"/>
          </w:tcPr>
          <w:p>
            <w:pPr>
              <w:widowControl/>
              <w:spacing w:line="360" w:lineRule="auto"/>
              <w:jc w:val="left"/>
              <w:rPr>
                <w:rFonts w:hint="eastAsia" w:ascii="仿宋" w:hAnsi="仿宋" w:eastAsia="仿宋" w:cs="仿宋"/>
                <w:b w:val="0"/>
                <w:bCs w:val="0"/>
                <w:kern w:val="0"/>
                <w:sz w:val="24"/>
                <w:szCs w:val="24"/>
              </w:rPr>
            </w:pPr>
          </w:p>
        </w:tc>
        <w:tc>
          <w:tcPr>
            <w:tcW w:w="944" w:type="dxa"/>
            <w:vMerge w:val="continue"/>
            <w:tcBorders>
              <w:top w:val="nil"/>
              <w:left w:val="nil"/>
              <w:bottom w:val="single" w:color="auto" w:sz="8" w:space="0"/>
              <w:right w:val="single" w:color="auto" w:sz="8" w:space="0"/>
            </w:tcBorders>
            <w:vAlign w:val="center"/>
          </w:tcPr>
          <w:p>
            <w:pPr>
              <w:widowControl/>
              <w:spacing w:line="360" w:lineRule="auto"/>
              <w:jc w:val="left"/>
              <w:rPr>
                <w:rFonts w:hint="eastAsia" w:ascii="仿宋" w:hAnsi="仿宋" w:eastAsia="仿宋" w:cs="仿宋"/>
                <w:b w:val="0"/>
                <w:bCs w:val="0"/>
                <w:kern w:val="0"/>
                <w:sz w:val="24"/>
                <w:szCs w:val="24"/>
              </w:rPr>
            </w:pPr>
          </w:p>
        </w:tc>
        <w:tc>
          <w:tcPr>
            <w:tcW w:w="724" w:type="dxa"/>
            <w:vMerge w:val="continue"/>
            <w:tcBorders>
              <w:top w:val="nil"/>
              <w:left w:val="nil"/>
              <w:bottom w:val="single" w:color="auto" w:sz="8" w:space="0"/>
              <w:right w:val="single" w:color="auto" w:sz="8" w:space="0"/>
            </w:tcBorders>
            <w:vAlign w:val="center"/>
          </w:tcPr>
          <w:p>
            <w:pPr>
              <w:widowControl/>
              <w:spacing w:line="360" w:lineRule="auto"/>
              <w:jc w:val="left"/>
              <w:rPr>
                <w:rFonts w:hint="eastAsia" w:ascii="仿宋" w:hAnsi="仿宋" w:eastAsia="仿宋" w:cs="仿宋"/>
                <w:b w:val="0"/>
                <w:bCs w:val="0"/>
                <w:kern w:val="0"/>
                <w:sz w:val="24"/>
                <w:szCs w:val="24"/>
              </w:rPr>
            </w:pPr>
          </w:p>
        </w:tc>
        <w:tc>
          <w:tcPr>
            <w:tcW w:w="423" w:type="dxa"/>
            <w:vMerge w:val="continue"/>
            <w:tcBorders>
              <w:top w:val="nil"/>
              <w:left w:val="nil"/>
              <w:bottom w:val="single" w:color="auto" w:sz="8" w:space="0"/>
              <w:right w:val="single" w:color="auto" w:sz="8" w:space="0"/>
            </w:tcBorders>
            <w:vAlign w:val="center"/>
          </w:tcPr>
          <w:p>
            <w:pPr>
              <w:widowControl/>
              <w:spacing w:line="360" w:lineRule="auto"/>
              <w:jc w:val="left"/>
              <w:rPr>
                <w:rFonts w:hint="eastAsia" w:ascii="仿宋" w:hAnsi="仿宋" w:eastAsia="仿宋" w:cs="仿宋"/>
                <w:b w:val="0"/>
                <w:bCs w:val="0"/>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spacing w:line="360" w:lineRule="auto"/>
              <w:jc w:val="left"/>
              <w:rPr>
                <w:rFonts w:hint="eastAsia" w:ascii="仿宋" w:hAnsi="仿宋" w:eastAsia="仿宋" w:cs="仿宋"/>
                <w:b w:val="0"/>
                <w:bCs w:val="0"/>
                <w:kern w:val="0"/>
                <w:sz w:val="24"/>
                <w:szCs w:val="24"/>
              </w:rPr>
            </w:pPr>
          </w:p>
        </w:tc>
        <w:tc>
          <w:tcPr>
            <w:tcW w:w="511" w:type="dxa"/>
            <w:vMerge w:val="continue"/>
            <w:tcBorders>
              <w:top w:val="nil"/>
              <w:left w:val="nil"/>
              <w:bottom w:val="single" w:color="auto" w:sz="8" w:space="0"/>
              <w:right w:val="single" w:color="auto" w:sz="8" w:space="0"/>
            </w:tcBorders>
            <w:vAlign w:val="center"/>
          </w:tcPr>
          <w:p>
            <w:pPr>
              <w:widowControl/>
              <w:spacing w:line="360" w:lineRule="auto"/>
              <w:jc w:val="left"/>
              <w:rPr>
                <w:rFonts w:hint="eastAsia" w:ascii="仿宋" w:hAnsi="仿宋" w:eastAsia="仿宋" w:cs="仿宋"/>
                <w:b w:val="0"/>
                <w:bCs w:val="0"/>
                <w:kern w:val="0"/>
                <w:sz w:val="24"/>
                <w:szCs w:val="24"/>
              </w:rPr>
            </w:pPr>
          </w:p>
        </w:tc>
        <w:tc>
          <w:tcPr>
            <w:tcW w:w="539" w:type="dxa"/>
            <w:vMerge w:val="continue"/>
            <w:tcBorders>
              <w:top w:val="nil"/>
              <w:left w:val="nil"/>
              <w:bottom w:val="single" w:color="auto" w:sz="8" w:space="0"/>
              <w:right w:val="single" w:color="auto" w:sz="8" w:space="0"/>
            </w:tcBorders>
            <w:vAlign w:val="center"/>
          </w:tcPr>
          <w:p>
            <w:pPr>
              <w:widowControl/>
              <w:spacing w:line="360" w:lineRule="auto"/>
              <w:jc w:val="left"/>
              <w:rPr>
                <w:rFonts w:hint="eastAsia" w:ascii="仿宋" w:hAnsi="仿宋" w:eastAsia="仿宋" w:cs="仿宋"/>
                <w:b w:val="0"/>
                <w:bCs w:val="0"/>
                <w:kern w:val="0"/>
                <w:sz w:val="24"/>
                <w:szCs w:val="24"/>
              </w:rPr>
            </w:pPr>
          </w:p>
        </w:tc>
        <w:tc>
          <w:tcPr>
            <w:tcW w:w="723" w:type="dxa"/>
            <w:vMerge w:val="continue"/>
            <w:tcBorders>
              <w:top w:val="nil"/>
              <w:left w:val="nil"/>
              <w:bottom w:val="single" w:color="auto" w:sz="8" w:space="0"/>
              <w:right w:val="single" w:color="auto" w:sz="8" w:space="0"/>
            </w:tcBorders>
            <w:vAlign w:val="center"/>
          </w:tcPr>
          <w:p>
            <w:pPr>
              <w:widowControl/>
              <w:spacing w:line="360" w:lineRule="auto"/>
              <w:jc w:val="left"/>
              <w:rPr>
                <w:rFonts w:hint="eastAsia" w:ascii="仿宋" w:hAnsi="仿宋" w:eastAsia="仿宋" w:cs="仿宋"/>
                <w:b w:val="0"/>
                <w:bCs w:val="0"/>
                <w:kern w:val="0"/>
                <w:sz w:val="24"/>
                <w:szCs w:val="24"/>
              </w:rPr>
            </w:pPr>
          </w:p>
        </w:tc>
        <w:tc>
          <w:tcPr>
            <w:tcW w:w="480" w:type="dxa"/>
            <w:vMerge w:val="continue"/>
            <w:tcBorders>
              <w:top w:val="nil"/>
              <w:left w:val="nil"/>
              <w:bottom w:val="single" w:color="auto" w:sz="8" w:space="0"/>
              <w:right w:val="single" w:color="auto" w:sz="8" w:space="0"/>
            </w:tcBorders>
            <w:vAlign w:val="center"/>
          </w:tcPr>
          <w:p>
            <w:pPr>
              <w:widowControl/>
              <w:spacing w:line="360" w:lineRule="auto"/>
              <w:jc w:val="left"/>
              <w:rPr>
                <w:rFonts w:hint="eastAsia" w:ascii="仿宋" w:hAnsi="仿宋" w:eastAsia="仿宋" w:cs="仿宋"/>
                <w:b w:val="0"/>
                <w:bCs w:val="0"/>
                <w:kern w:val="0"/>
                <w:sz w:val="24"/>
                <w:szCs w:val="24"/>
              </w:rPr>
            </w:pPr>
          </w:p>
        </w:tc>
        <w:tc>
          <w:tcPr>
            <w:tcW w:w="90" w:type="dxa"/>
            <w:tcBorders>
              <w:top w:val="nil"/>
              <w:left w:val="nil"/>
              <w:bottom w:val="nil"/>
              <w:right w:val="nil"/>
            </w:tcBorders>
            <w:vAlign w:val="center"/>
          </w:tcPr>
          <w:p>
            <w:pPr>
              <w:widowControl/>
              <w:spacing w:line="360" w:lineRule="auto"/>
              <w:jc w:val="left"/>
              <w:rPr>
                <w:rFonts w:hint="eastAsia" w:ascii="仿宋" w:hAnsi="仿宋" w:eastAsia="仿宋" w:cs="仿宋"/>
                <w:b w:val="0"/>
                <w:bCs w:val="0"/>
                <w:kern w:val="0"/>
                <w:sz w:val="24"/>
                <w:szCs w:val="24"/>
              </w:rPr>
            </w:pPr>
          </w:p>
        </w:tc>
      </w:tr>
      <w:tr>
        <w:tblPrEx>
          <w:tblCellMar>
            <w:top w:w="0" w:type="dxa"/>
            <w:left w:w="0" w:type="dxa"/>
            <w:bottom w:w="0" w:type="dxa"/>
            <w:right w:w="0" w:type="dxa"/>
          </w:tblCellMar>
        </w:tblPrEx>
        <w:trPr>
          <w:trHeight w:val="90" w:hRule="atLeast"/>
        </w:trPr>
        <w:tc>
          <w:tcPr>
            <w:tcW w:w="6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栏次</w:t>
            </w:r>
          </w:p>
        </w:tc>
        <w:tc>
          <w:tcPr>
            <w:tcW w:w="4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仿宋" w:hAnsi="仿宋" w:eastAsia="仿宋" w:cs="仿宋"/>
                <w:b w:val="0"/>
                <w:bCs w:val="0"/>
                <w:kern w:val="0"/>
                <w:sz w:val="24"/>
                <w:szCs w:val="24"/>
              </w:rPr>
            </w:pPr>
          </w:p>
        </w:tc>
        <w:tc>
          <w:tcPr>
            <w:tcW w:w="9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1</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2</w:t>
            </w:r>
          </w:p>
        </w:tc>
        <w:tc>
          <w:tcPr>
            <w:tcW w:w="96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3</w:t>
            </w:r>
          </w:p>
        </w:tc>
        <w:tc>
          <w:tcPr>
            <w:tcW w:w="9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4</w:t>
            </w:r>
          </w:p>
        </w:tc>
        <w:tc>
          <w:tcPr>
            <w:tcW w:w="7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5</w:t>
            </w:r>
          </w:p>
        </w:tc>
        <w:tc>
          <w:tcPr>
            <w:tcW w:w="4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6</w:t>
            </w:r>
          </w:p>
        </w:tc>
        <w:tc>
          <w:tcPr>
            <w:tcW w:w="8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7</w:t>
            </w:r>
          </w:p>
        </w:tc>
        <w:tc>
          <w:tcPr>
            <w:tcW w:w="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8</w:t>
            </w:r>
          </w:p>
        </w:tc>
        <w:tc>
          <w:tcPr>
            <w:tcW w:w="5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9</w:t>
            </w:r>
          </w:p>
        </w:tc>
        <w:tc>
          <w:tcPr>
            <w:tcW w:w="7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10</w:t>
            </w:r>
          </w:p>
        </w:tc>
        <w:tc>
          <w:tcPr>
            <w:tcW w:w="4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11</w:t>
            </w:r>
          </w:p>
        </w:tc>
        <w:tc>
          <w:tcPr>
            <w:tcW w:w="90" w:type="dxa"/>
            <w:tcBorders>
              <w:top w:val="nil"/>
              <w:left w:val="nil"/>
              <w:bottom w:val="nil"/>
              <w:right w:val="nil"/>
            </w:tcBorders>
            <w:vAlign w:val="center"/>
          </w:tcPr>
          <w:p>
            <w:pPr>
              <w:widowControl/>
              <w:spacing w:line="360" w:lineRule="auto"/>
              <w:jc w:val="left"/>
              <w:rPr>
                <w:rFonts w:hint="eastAsia" w:ascii="仿宋" w:hAnsi="仿宋" w:eastAsia="仿宋" w:cs="仿宋"/>
                <w:b w:val="0"/>
                <w:bCs w:val="0"/>
                <w:kern w:val="0"/>
                <w:sz w:val="24"/>
                <w:szCs w:val="24"/>
              </w:rPr>
            </w:pPr>
          </w:p>
        </w:tc>
      </w:tr>
      <w:tr>
        <w:tblPrEx>
          <w:tblCellMar>
            <w:top w:w="0" w:type="dxa"/>
            <w:left w:w="0" w:type="dxa"/>
            <w:bottom w:w="0" w:type="dxa"/>
            <w:right w:w="0" w:type="dxa"/>
          </w:tblCellMar>
        </w:tblPrEx>
        <w:trPr>
          <w:trHeight w:val="300" w:hRule="atLeast"/>
        </w:trPr>
        <w:tc>
          <w:tcPr>
            <w:tcW w:w="6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合计</w:t>
            </w:r>
          </w:p>
        </w:tc>
        <w:tc>
          <w:tcPr>
            <w:tcW w:w="4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1</w:t>
            </w:r>
          </w:p>
        </w:tc>
        <w:tc>
          <w:tcPr>
            <w:tcW w:w="9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left"/>
              <w:rPr>
                <w:rFonts w:hint="default" w:ascii="仿宋" w:hAnsi="仿宋" w:eastAsia="仿宋" w:cs="仿宋"/>
                <w:b w:val="0"/>
                <w:bCs w:val="0"/>
                <w:kern w:val="0"/>
                <w:sz w:val="24"/>
                <w:szCs w:val="24"/>
                <w:lang w:val="en-US"/>
              </w:rPr>
            </w:pPr>
            <w:r>
              <w:rPr>
                <w:rFonts w:hint="eastAsia" w:ascii="仿宋" w:hAnsi="仿宋" w:eastAsia="仿宋" w:cs="仿宋"/>
                <w:b w:val="0"/>
                <w:bCs w:val="0"/>
                <w:color w:val="000000"/>
                <w:kern w:val="0"/>
                <w:sz w:val="20"/>
                <w:szCs w:val="20"/>
                <w:lang w:val="en-US" w:eastAsia="zh-CN"/>
              </w:rPr>
              <w:t>1641.37</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right"/>
              <w:rPr>
                <w:rFonts w:hint="default" w:ascii="仿宋" w:hAnsi="仿宋" w:eastAsia="仿宋" w:cs="仿宋"/>
                <w:b w:val="0"/>
                <w:bCs w:val="0"/>
                <w:kern w:val="0"/>
                <w:sz w:val="24"/>
                <w:szCs w:val="24"/>
                <w:lang w:val="en-US" w:eastAsia="zh-CN"/>
              </w:rPr>
            </w:pPr>
            <w:r>
              <w:rPr>
                <w:rFonts w:hint="eastAsia" w:ascii="仿宋" w:hAnsi="仿宋" w:eastAsia="仿宋" w:cs="仿宋"/>
                <w:b w:val="0"/>
                <w:bCs w:val="0"/>
                <w:color w:val="000000"/>
                <w:kern w:val="0"/>
                <w:sz w:val="20"/>
                <w:szCs w:val="20"/>
                <w:lang w:val="en-US" w:eastAsia="zh-CN"/>
              </w:rPr>
              <w:t>193.39</w:t>
            </w:r>
          </w:p>
        </w:tc>
        <w:tc>
          <w:tcPr>
            <w:tcW w:w="96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right"/>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lang w:val="en-US" w:eastAsia="zh-CN"/>
              </w:rPr>
              <w:t>1423.04</w:t>
            </w:r>
            <w:r>
              <w:rPr>
                <w:rFonts w:hint="eastAsia" w:ascii="仿宋" w:hAnsi="仿宋" w:eastAsia="仿宋" w:cs="仿宋"/>
                <w:b w:val="0"/>
                <w:bCs w:val="0"/>
                <w:color w:val="000000"/>
                <w:kern w:val="0"/>
                <w:sz w:val="20"/>
                <w:szCs w:val="20"/>
              </w:rPr>
              <w:t xml:space="preserve"> </w:t>
            </w:r>
          </w:p>
        </w:tc>
        <w:tc>
          <w:tcPr>
            <w:tcW w:w="9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right"/>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lang w:val="en-US" w:eastAsia="zh-CN"/>
              </w:rPr>
              <w:t>1226.56</w:t>
            </w:r>
            <w:r>
              <w:rPr>
                <w:rFonts w:hint="eastAsia" w:ascii="仿宋" w:hAnsi="仿宋" w:eastAsia="仿宋" w:cs="仿宋"/>
                <w:b w:val="0"/>
                <w:bCs w:val="0"/>
                <w:color w:val="000000"/>
                <w:kern w:val="0"/>
                <w:sz w:val="20"/>
                <w:szCs w:val="20"/>
              </w:rPr>
              <w:t>　</w:t>
            </w:r>
          </w:p>
        </w:tc>
        <w:tc>
          <w:tcPr>
            <w:tcW w:w="7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right"/>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lang w:val="en-US" w:eastAsia="zh-CN"/>
              </w:rPr>
              <w:t>28.78</w:t>
            </w:r>
            <w:r>
              <w:rPr>
                <w:rFonts w:hint="eastAsia" w:ascii="仿宋" w:hAnsi="仿宋" w:eastAsia="仿宋" w:cs="仿宋"/>
                <w:b w:val="0"/>
                <w:bCs w:val="0"/>
                <w:color w:val="000000"/>
                <w:kern w:val="0"/>
                <w:sz w:val="20"/>
                <w:szCs w:val="20"/>
              </w:rPr>
              <w:t>　</w:t>
            </w:r>
          </w:p>
        </w:tc>
        <w:tc>
          <w:tcPr>
            <w:tcW w:w="4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right"/>
              <w:rPr>
                <w:rFonts w:hint="eastAsia" w:ascii="仿宋" w:hAnsi="仿宋" w:eastAsia="仿宋" w:cs="仿宋"/>
                <w:b w:val="0"/>
                <w:bCs w:val="0"/>
                <w:kern w:val="0"/>
                <w:sz w:val="24"/>
                <w:szCs w:val="24"/>
              </w:rPr>
            </w:pPr>
          </w:p>
        </w:tc>
        <w:tc>
          <w:tcPr>
            <w:tcW w:w="8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both"/>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lang w:val="en-US" w:eastAsia="zh-CN"/>
              </w:rPr>
              <w:t>167.70</w:t>
            </w:r>
            <w:r>
              <w:rPr>
                <w:rFonts w:hint="eastAsia" w:ascii="仿宋" w:hAnsi="仿宋" w:eastAsia="仿宋" w:cs="仿宋"/>
                <w:b w:val="0"/>
                <w:bCs w:val="0"/>
                <w:color w:val="000000"/>
                <w:kern w:val="0"/>
                <w:sz w:val="20"/>
                <w:szCs w:val="20"/>
              </w:rPr>
              <w:t xml:space="preserve"> </w:t>
            </w:r>
          </w:p>
        </w:tc>
        <w:tc>
          <w:tcPr>
            <w:tcW w:w="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right"/>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　</w:t>
            </w:r>
          </w:p>
        </w:tc>
        <w:tc>
          <w:tcPr>
            <w:tcW w:w="5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right"/>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　</w:t>
            </w:r>
          </w:p>
        </w:tc>
        <w:tc>
          <w:tcPr>
            <w:tcW w:w="7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both"/>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lang w:val="en-US" w:eastAsia="zh-CN"/>
              </w:rPr>
              <w:t>24.94</w:t>
            </w:r>
            <w:r>
              <w:rPr>
                <w:rFonts w:hint="eastAsia" w:ascii="仿宋" w:hAnsi="仿宋" w:eastAsia="仿宋" w:cs="仿宋"/>
                <w:b w:val="0"/>
                <w:bCs w:val="0"/>
                <w:color w:val="000000"/>
                <w:kern w:val="0"/>
                <w:sz w:val="20"/>
                <w:szCs w:val="20"/>
              </w:rPr>
              <w:t>　</w:t>
            </w:r>
          </w:p>
        </w:tc>
        <w:tc>
          <w:tcPr>
            <w:tcW w:w="4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right"/>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　</w:t>
            </w:r>
          </w:p>
        </w:tc>
        <w:tc>
          <w:tcPr>
            <w:tcW w:w="90" w:type="dxa"/>
            <w:tcBorders>
              <w:top w:val="nil"/>
              <w:left w:val="nil"/>
              <w:bottom w:val="nil"/>
              <w:right w:val="nil"/>
            </w:tcBorders>
            <w:vAlign w:val="center"/>
          </w:tcPr>
          <w:p>
            <w:pPr>
              <w:widowControl/>
              <w:spacing w:line="360" w:lineRule="auto"/>
              <w:jc w:val="left"/>
              <w:rPr>
                <w:rFonts w:hint="eastAsia" w:ascii="仿宋" w:hAnsi="仿宋" w:eastAsia="仿宋" w:cs="仿宋"/>
                <w:b w:val="0"/>
                <w:bCs w:val="0"/>
                <w:kern w:val="0"/>
                <w:sz w:val="24"/>
                <w:szCs w:val="24"/>
              </w:rPr>
            </w:pPr>
          </w:p>
        </w:tc>
      </w:tr>
      <w:tr>
        <w:tblPrEx>
          <w:tblCellMar>
            <w:top w:w="0" w:type="dxa"/>
            <w:left w:w="0" w:type="dxa"/>
            <w:bottom w:w="0" w:type="dxa"/>
            <w:right w:w="0" w:type="dxa"/>
          </w:tblCellMar>
        </w:tblPrEx>
        <w:trPr>
          <w:trHeight w:val="240" w:hRule="atLeast"/>
        </w:trPr>
        <w:tc>
          <w:tcPr>
            <w:tcW w:w="9012" w:type="dxa"/>
            <w:gridSpan w:val="13"/>
            <w:tcBorders>
              <w:top w:val="nil"/>
              <w:left w:val="nil"/>
              <w:bottom w:val="nil"/>
              <w:right w:val="nil"/>
            </w:tcBorders>
            <w:tcMar>
              <w:top w:w="0" w:type="dxa"/>
              <w:left w:w="108" w:type="dxa"/>
              <w:bottom w:w="0" w:type="dxa"/>
              <w:right w:w="108" w:type="dxa"/>
            </w:tcMar>
            <w:vAlign w:val="bottom"/>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　</w:t>
            </w:r>
          </w:p>
        </w:tc>
        <w:tc>
          <w:tcPr>
            <w:tcW w:w="90" w:type="dxa"/>
            <w:tcBorders>
              <w:top w:val="nil"/>
              <w:left w:val="nil"/>
              <w:bottom w:val="nil"/>
              <w:right w:val="nil"/>
            </w:tcBorders>
            <w:vAlign w:val="center"/>
          </w:tcPr>
          <w:p>
            <w:pPr>
              <w:widowControl/>
              <w:spacing w:line="360" w:lineRule="auto"/>
              <w:jc w:val="left"/>
              <w:rPr>
                <w:rFonts w:hint="eastAsia" w:ascii="仿宋" w:hAnsi="仿宋" w:eastAsia="仿宋" w:cs="仿宋"/>
                <w:b w:val="0"/>
                <w:bCs w:val="0"/>
                <w:kern w:val="0"/>
                <w:sz w:val="24"/>
                <w:szCs w:val="24"/>
              </w:rPr>
            </w:pPr>
          </w:p>
        </w:tc>
      </w:tr>
      <w:tr>
        <w:tblPrEx>
          <w:tblCellMar>
            <w:top w:w="0" w:type="dxa"/>
            <w:left w:w="0" w:type="dxa"/>
            <w:bottom w:w="0" w:type="dxa"/>
            <w:right w:w="0" w:type="dxa"/>
          </w:tblCellMar>
        </w:tblPrEx>
        <w:trPr>
          <w:trHeight w:val="300" w:hRule="atLeast"/>
        </w:trPr>
        <w:tc>
          <w:tcPr>
            <w:tcW w:w="1034" w:type="dxa"/>
            <w:gridSpan w:val="2"/>
            <w:tcBorders>
              <w:top w:val="nil"/>
              <w:left w:val="nil"/>
              <w:bottom w:val="nil"/>
              <w:right w:val="nil"/>
            </w:tcBorders>
            <w:noWrap/>
            <w:tcMar>
              <w:top w:w="0" w:type="dxa"/>
              <w:left w:w="108" w:type="dxa"/>
              <w:bottom w:w="0" w:type="dxa"/>
              <w:right w:w="108" w:type="dxa"/>
            </w:tcMar>
            <w:vAlign w:val="bottom"/>
          </w:tcPr>
          <w:p>
            <w:pPr>
              <w:widowControl/>
              <w:spacing w:before="100" w:beforeAutospacing="1"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填报说明：</w:t>
            </w:r>
          </w:p>
        </w:tc>
        <w:tc>
          <w:tcPr>
            <w:tcW w:w="7978" w:type="dxa"/>
            <w:gridSpan w:val="11"/>
            <w:tcBorders>
              <w:top w:val="nil"/>
              <w:left w:val="nil"/>
              <w:bottom w:val="nil"/>
              <w:right w:val="nil"/>
            </w:tcBorders>
            <w:noWrap/>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1.资产总额＝流动资产＋固定资产＋对外投资／有价证券＋在建工程＋无形资产＋其他资产</w:t>
            </w:r>
          </w:p>
        </w:tc>
        <w:tc>
          <w:tcPr>
            <w:tcW w:w="90" w:type="dxa"/>
            <w:tcBorders>
              <w:top w:val="nil"/>
              <w:left w:val="nil"/>
              <w:bottom w:val="nil"/>
              <w:right w:val="nil"/>
            </w:tcBorders>
            <w:vAlign w:val="center"/>
          </w:tcPr>
          <w:p>
            <w:pPr>
              <w:widowControl/>
              <w:spacing w:line="360" w:lineRule="auto"/>
              <w:jc w:val="left"/>
              <w:rPr>
                <w:rFonts w:hint="eastAsia" w:ascii="仿宋" w:hAnsi="仿宋" w:eastAsia="仿宋" w:cs="仿宋"/>
                <w:b w:val="0"/>
                <w:bCs w:val="0"/>
                <w:kern w:val="0"/>
                <w:sz w:val="24"/>
                <w:szCs w:val="24"/>
              </w:rPr>
            </w:pPr>
          </w:p>
        </w:tc>
      </w:tr>
      <w:tr>
        <w:tblPrEx>
          <w:tblCellMar>
            <w:top w:w="0" w:type="dxa"/>
            <w:left w:w="0" w:type="dxa"/>
            <w:bottom w:w="0" w:type="dxa"/>
            <w:right w:w="0" w:type="dxa"/>
          </w:tblCellMar>
        </w:tblPrEx>
        <w:trPr>
          <w:trHeight w:val="285" w:hRule="atLeast"/>
        </w:trPr>
        <w:tc>
          <w:tcPr>
            <w:tcW w:w="609" w:type="dxa"/>
            <w:tcBorders>
              <w:top w:val="nil"/>
              <w:left w:val="nil"/>
              <w:bottom w:val="nil"/>
              <w:right w:val="nil"/>
            </w:tcBorders>
            <w:noWrap/>
            <w:tcMar>
              <w:top w:w="0" w:type="dxa"/>
              <w:left w:w="108" w:type="dxa"/>
              <w:bottom w:w="0" w:type="dxa"/>
              <w:right w:w="108" w:type="dxa"/>
            </w:tcMar>
            <w:vAlign w:val="center"/>
          </w:tcPr>
          <w:p>
            <w:pPr>
              <w:widowControl/>
              <w:spacing w:line="360" w:lineRule="auto"/>
              <w:jc w:val="left"/>
              <w:rPr>
                <w:rFonts w:hint="eastAsia" w:ascii="仿宋" w:hAnsi="仿宋" w:eastAsia="仿宋" w:cs="仿宋"/>
                <w:b w:val="0"/>
                <w:bCs w:val="0"/>
                <w:kern w:val="0"/>
                <w:sz w:val="24"/>
                <w:szCs w:val="24"/>
              </w:rPr>
            </w:pPr>
          </w:p>
        </w:tc>
        <w:tc>
          <w:tcPr>
            <w:tcW w:w="425" w:type="dxa"/>
            <w:tcBorders>
              <w:top w:val="nil"/>
              <w:left w:val="nil"/>
              <w:bottom w:val="nil"/>
              <w:right w:val="nil"/>
            </w:tcBorders>
            <w:noWrap/>
            <w:tcMar>
              <w:top w:w="0" w:type="dxa"/>
              <w:left w:w="108" w:type="dxa"/>
              <w:bottom w:w="0" w:type="dxa"/>
              <w:right w:w="108" w:type="dxa"/>
            </w:tcMar>
            <w:vAlign w:val="center"/>
          </w:tcPr>
          <w:p>
            <w:pPr>
              <w:widowControl/>
              <w:spacing w:line="360" w:lineRule="auto"/>
              <w:jc w:val="left"/>
              <w:rPr>
                <w:rFonts w:hint="eastAsia" w:ascii="仿宋" w:hAnsi="仿宋" w:eastAsia="仿宋" w:cs="仿宋"/>
                <w:b w:val="0"/>
                <w:bCs w:val="0"/>
                <w:kern w:val="0"/>
                <w:sz w:val="24"/>
                <w:szCs w:val="24"/>
              </w:rPr>
            </w:pPr>
          </w:p>
        </w:tc>
        <w:tc>
          <w:tcPr>
            <w:tcW w:w="7978" w:type="dxa"/>
            <w:gridSpan w:val="11"/>
            <w:tcBorders>
              <w:top w:val="nil"/>
              <w:left w:val="nil"/>
              <w:bottom w:val="nil"/>
              <w:right w:val="nil"/>
            </w:tcBorders>
            <w:noWrap/>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2.固定资产＝房屋构筑物＋车辆＋单价200万元以上大型设备＋其他固定资产</w:t>
            </w:r>
          </w:p>
        </w:tc>
        <w:tc>
          <w:tcPr>
            <w:tcW w:w="90" w:type="dxa"/>
            <w:tcBorders>
              <w:top w:val="nil"/>
              <w:left w:val="nil"/>
              <w:bottom w:val="nil"/>
              <w:right w:val="nil"/>
            </w:tcBorders>
            <w:vAlign w:val="center"/>
          </w:tcPr>
          <w:p>
            <w:pPr>
              <w:widowControl/>
              <w:spacing w:line="360" w:lineRule="auto"/>
              <w:jc w:val="left"/>
              <w:rPr>
                <w:rFonts w:hint="eastAsia" w:ascii="仿宋" w:hAnsi="仿宋" w:eastAsia="仿宋" w:cs="仿宋"/>
                <w:b w:val="0"/>
                <w:bCs w:val="0"/>
                <w:kern w:val="0"/>
                <w:sz w:val="24"/>
                <w:szCs w:val="24"/>
              </w:rPr>
            </w:pPr>
          </w:p>
        </w:tc>
      </w:tr>
      <w:tr>
        <w:tblPrEx>
          <w:tblCellMar>
            <w:top w:w="0" w:type="dxa"/>
            <w:left w:w="0" w:type="dxa"/>
            <w:bottom w:w="0" w:type="dxa"/>
            <w:right w:w="0" w:type="dxa"/>
          </w:tblCellMar>
        </w:tblPrEx>
        <w:trPr>
          <w:trHeight w:val="285" w:hRule="atLeast"/>
        </w:trPr>
        <w:tc>
          <w:tcPr>
            <w:tcW w:w="609" w:type="dxa"/>
            <w:tcBorders>
              <w:top w:val="nil"/>
              <w:left w:val="nil"/>
              <w:bottom w:val="nil"/>
              <w:right w:val="nil"/>
            </w:tcBorders>
            <w:noWrap/>
            <w:tcMar>
              <w:top w:w="0" w:type="dxa"/>
              <w:left w:w="108" w:type="dxa"/>
              <w:bottom w:w="0" w:type="dxa"/>
              <w:right w:w="108" w:type="dxa"/>
            </w:tcMar>
            <w:vAlign w:val="center"/>
          </w:tcPr>
          <w:p>
            <w:pPr>
              <w:widowControl/>
              <w:spacing w:line="360" w:lineRule="auto"/>
              <w:jc w:val="left"/>
              <w:rPr>
                <w:rFonts w:hint="eastAsia" w:ascii="仿宋" w:hAnsi="仿宋" w:eastAsia="仿宋" w:cs="仿宋"/>
                <w:b w:val="0"/>
                <w:bCs w:val="0"/>
                <w:kern w:val="0"/>
                <w:sz w:val="24"/>
                <w:szCs w:val="24"/>
              </w:rPr>
            </w:pPr>
          </w:p>
        </w:tc>
        <w:tc>
          <w:tcPr>
            <w:tcW w:w="425" w:type="dxa"/>
            <w:tcBorders>
              <w:top w:val="nil"/>
              <w:left w:val="nil"/>
              <w:bottom w:val="nil"/>
              <w:right w:val="nil"/>
            </w:tcBorders>
            <w:noWrap/>
            <w:tcMar>
              <w:top w:w="0" w:type="dxa"/>
              <w:left w:w="108" w:type="dxa"/>
              <w:bottom w:w="0" w:type="dxa"/>
              <w:right w:w="108" w:type="dxa"/>
            </w:tcMar>
            <w:vAlign w:val="center"/>
          </w:tcPr>
          <w:p>
            <w:pPr>
              <w:widowControl/>
              <w:spacing w:line="360" w:lineRule="auto"/>
              <w:jc w:val="left"/>
              <w:rPr>
                <w:rFonts w:hint="eastAsia" w:ascii="仿宋" w:hAnsi="仿宋" w:eastAsia="仿宋" w:cs="仿宋"/>
                <w:b w:val="0"/>
                <w:bCs w:val="0"/>
                <w:kern w:val="0"/>
                <w:sz w:val="24"/>
                <w:szCs w:val="24"/>
              </w:rPr>
            </w:pPr>
          </w:p>
        </w:tc>
        <w:tc>
          <w:tcPr>
            <w:tcW w:w="7978" w:type="dxa"/>
            <w:gridSpan w:val="11"/>
            <w:tcBorders>
              <w:top w:val="nil"/>
              <w:left w:val="nil"/>
              <w:bottom w:val="nil"/>
              <w:right w:val="nil"/>
            </w:tcBorders>
            <w:noWrap/>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20"/>
                <w:szCs w:val="20"/>
              </w:rPr>
              <w:t>3.填报金额为资产“账面原值”。</w:t>
            </w:r>
          </w:p>
        </w:tc>
        <w:tc>
          <w:tcPr>
            <w:tcW w:w="90" w:type="dxa"/>
            <w:tcBorders>
              <w:top w:val="nil"/>
              <w:left w:val="nil"/>
              <w:bottom w:val="nil"/>
              <w:right w:val="nil"/>
            </w:tcBorders>
            <w:vAlign w:val="center"/>
          </w:tcPr>
          <w:p>
            <w:pPr>
              <w:widowControl/>
              <w:spacing w:line="360" w:lineRule="auto"/>
              <w:jc w:val="left"/>
              <w:rPr>
                <w:rFonts w:hint="eastAsia" w:ascii="仿宋" w:hAnsi="仿宋" w:eastAsia="仿宋" w:cs="仿宋"/>
                <w:b w:val="0"/>
                <w:bCs w:val="0"/>
                <w:kern w:val="0"/>
                <w:sz w:val="24"/>
                <w:szCs w:val="24"/>
              </w:rPr>
            </w:pPr>
          </w:p>
        </w:tc>
      </w:tr>
    </w:tbl>
    <w:p>
      <w:pPr>
        <w:widowControl/>
        <w:snapToGrid w:val="0"/>
        <w:spacing w:after="100" w:afterAutospacing="1" w:line="360" w:lineRule="auto"/>
        <w:ind w:firstLine="6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三、政府采购支出情况</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2020年度，迪庆藏族自治州农业科学研究院采购支出总额7.05万元，其中：政府采购货物支出7.05万元；政府采购工程支出0万元；政府采购服务支出0万元。授予中小企业合同金额0万元，占政府采购支出总额的0%。</w:t>
      </w:r>
    </w:p>
    <w:p>
      <w:pPr>
        <w:widowControl/>
        <w:snapToGrid w:val="0"/>
        <w:spacing w:after="100" w:afterAutospacing="1" w:line="360" w:lineRule="auto"/>
        <w:ind w:firstLine="600"/>
        <w:jc w:val="left"/>
        <w:rPr>
          <w:rFonts w:hint="eastAsia" w:ascii="仿宋" w:hAnsi="仿宋" w:eastAsia="仿宋" w:cs="仿宋"/>
          <w:b w:val="0"/>
          <w:bCs w:val="0"/>
          <w:kern w:val="0"/>
          <w:sz w:val="24"/>
          <w:szCs w:val="24"/>
        </w:rPr>
      </w:pPr>
      <w:r>
        <w:rPr>
          <w:rFonts w:hint="eastAsia" w:ascii="仿宋" w:hAnsi="仿宋" w:eastAsia="仿宋" w:cs="仿宋"/>
          <w:b w:val="0"/>
          <w:bCs w:val="0"/>
          <w:color w:val="000000"/>
          <w:kern w:val="0"/>
          <w:sz w:val="30"/>
          <w:szCs w:val="30"/>
          <w:shd w:val="clear" w:color="auto" w:fill="FFFFFF"/>
        </w:rPr>
        <w:t>四、</w:t>
      </w:r>
      <w:r>
        <w:rPr>
          <w:rFonts w:hint="eastAsia" w:ascii="仿宋" w:hAnsi="仿宋" w:eastAsia="仿宋" w:cs="仿宋"/>
          <w:b w:val="0"/>
          <w:bCs w:val="0"/>
          <w:kern w:val="0"/>
          <w:sz w:val="30"/>
          <w:szCs w:val="30"/>
          <w:shd w:val="clear" w:color="auto" w:fill="FFFFFF"/>
        </w:rPr>
        <w:t>部门绩效自评情况</w:t>
      </w:r>
    </w:p>
    <w:p>
      <w:pPr>
        <w:widowControl/>
        <w:snapToGrid w:val="0"/>
        <w:spacing w:after="100" w:afterAutospacing="1" w:line="360" w:lineRule="auto"/>
        <w:ind w:firstLine="6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部门绩效自评情况详见附表（附表10-附表12）。</w:t>
      </w:r>
    </w:p>
    <w:p>
      <w:pPr>
        <w:widowControl/>
        <w:snapToGrid w:val="0"/>
        <w:spacing w:after="100" w:afterAutospacing="1" w:line="360" w:lineRule="auto"/>
        <w:ind w:firstLine="6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五、其他重要事项情况说明</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无</w:t>
      </w:r>
    </w:p>
    <w:p>
      <w:pPr>
        <w:widowControl/>
        <w:snapToGrid w:val="0"/>
        <w:spacing w:after="100" w:afterAutospacing="1" w:line="360" w:lineRule="auto"/>
        <w:ind w:firstLine="6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六、相关口径说明</w:t>
      </w:r>
    </w:p>
    <w:p>
      <w:pPr>
        <w:widowControl/>
        <w:snapToGrid w:val="0"/>
        <w:spacing w:after="100" w:afterAutospacing="1" w:line="360" w:lineRule="auto"/>
        <w:ind w:firstLine="6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（一）基本支出中人员经费包括工资福利支出和对个人和家庭的补助，公用经费包括商品和服务支出、资本性支出等人员经费以外的支出。</w:t>
      </w:r>
    </w:p>
    <w:p>
      <w:pPr>
        <w:widowControl/>
        <w:snapToGrid w:val="0"/>
        <w:spacing w:after="100" w:afterAutospacing="1" w:line="360" w:lineRule="auto"/>
        <w:ind w:firstLine="6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（二）机关运行经费指行政单位和参照公务员法管理的事业单位使用一般公共预算财政拨款安排的基本支出中的公用经费支出。</w:t>
      </w:r>
    </w:p>
    <w:p>
      <w:pPr>
        <w:widowControl/>
        <w:snapToGrid w:val="0"/>
        <w:spacing w:after="100" w:afterAutospacing="1" w:line="360" w:lineRule="auto"/>
        <w:ind w:firstLine="6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（三）按照党中央、国务院有关文件及部门预算管理有关规定，</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30"/>
          <w:szCs w:val="30"/>
          <w:shd w:val="clear" w:color="auto" w:fill="FFFFFF"/>
        </w:rPr>
        <w:t>三公</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30"/>
          <w:szCs w:val="30"/>
          <w:shd w:val="clear" w:color="auto" w:fill="FFFFFF"/>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widowControl/>
        <w:snapToGrid w:val="0"/>
        <w:spacing w:after="100" w:afterAutospacing="1" w:line="360" w:lineRule="auto"/>
        <w:ind w:firstLine="6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30"/>
          <w:szCs w:val="30"/>
          <w:shd w:val="clear" w:color="auto" w:fill="FFFFFF"/>
        </w:rPr>
        <w:t>（四）</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30"/>
          <w:szCs w:val="30"/>
          <w:shd w:val="clear" w:color="auto" w:fill="FFFFFF"/>
        </w:rPr>
        <w:t>三公</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30"/>
          <w:szCs w:val="30"/>
          <w:shd w:val="clear" w:color="auto" w:fill="FFFFFF"/>
        </w:rPr>
        <w:t>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widowControl/>
        <w:snapToGrid w:val="0"/>
        <w:spacing w:after="100" w:afterAutospacing="1"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32"/>
          <w:szCs w:val="32"/>
          <w:shd w:val="clear" w:color="auto" w:fill="FFFFFF"/>
        </w:rPr>
        <w:t>第五部分 名词解释</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（一） 经济科目：指政府支出按经济性质和具体用途所作的一种分类科目，具体设类、款两级。</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（二）功能科目：指政府支出按其主要职能活动所作的一种分类科目，主要反映政府活动的不同功能和政策目标，具体设类、款、项三级。</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三）一般公共预算：是对以税收为主体的财政收入，安排用于保障和改善民生、推动经济社会发展、维护国家安全、维持国家机构正常运转等方面的收支预算。主要包括本级财力、专项收入、执法办案补助、收费成本补偿、财政专户管理的教育收费和国有资源（资产）有偿使用。</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（四）政府性基金预算：是对依照法律、行政法规的规定在一定期限内向特定对象征收、收取或者以其他方式筹集的资金，专项用于特定公共事业发展的收支预算。</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（五）参公管理事业单位：参照《公务员法》第一百零六条：法律、法规授权的具有公共事务管理职能的事业单位中除工勤人员以外的工作人员，经批准参照本法进行管理的事业单位。</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六）基本支出：系用于保障机关、事业单位等机构正常运转的日常支出，包括基本工资，津贴补贴和机关事业单位基本养老保险缴费等工资福利支出，办公费、差旅费、印刷费、水电费、车辆运行维护费、维修（护）等日常经费支出。</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（七）项目支出：系用于保障机关、事业单位等机构为完成特定的行政工作任务或事业发展目标，专项用于业务工作开展的项目经费支出。</w:t>
      </w:r>
    </w:p>
    <w:p>
      <w:pPr>
        <w:widowControl/>
        <w:snapToGrid w:val="0"/>
        <w:spacing w:after="100" w:afterAutospacing="1" w:line="360" w:lineRule="auto"/>
        <w:ind w:firstLine="600"/>
        <w:jc w:val="left"/>
        <w:rPr>
          <w:rFonts w:hint="eastAsia" w:ascii="仿宋" w:hAnsi="仿宋" w:eastAsia="仿宋" w:cs="仿宋"/>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八）“三公”经费：按照党中央、国务院有关文件及部门预算管理有关规定，“三公”经费包括因公出国（境）费、公务用车购置及运行费和公务接待费。（1）因公出国（境）费，指单位公务出国（境）的国际旅费、国外城市间交通费、住宿费、伙食费、培训费、公杂费等支出。（2）公务用车购置及运行费，指单位公务用车购置费及按规定保留的公务用车燃料费、维修费、过路过桥费、保险费、安全奖励费用等支出，公务用车指用于履行公务的机动车辆，包括一般公务用车和执法执勤用车。（3）公务接待费，指单位按规定开支的各类公务接待（含外宾接待）支出。</w:t>
      </w:r>
    </w:p>
    <w:p>
      <w:pPr>
        <w:widowControl/>
        <w:snapToGrid w:val="0"/>
        <w:spacing w:after="100" w:afterAutospacing="1" w:line="360" w:lineRule="auto"/>
        <w:ind w:firstLine="600"/>
        <w:jc w:val="left"/>
        <w:rPr>
          <w:rFonts w:hint="eastAsia" w:ascii="仿宋" w:hAnsi="仿宋" w:eastAsia="仿宋" w:cs="宋体"/>
          <w:b w:val="0"/>
          <w:bCs w:val="0"/>
          <w:kern w:val="0"/>
          <w:sz w:val="30"/>
          <w:szCs w:val="30"/>
          <w:shd w:val="clear" w:color="auto" w:fill="FFFFFF"/>
        </w:rPr>
      </w:pPr>
      <w:r>
        <w:rPr>
          <w:rFonts w:hint="eastAsia" w:ascii="仿宋" w:hAnsi="仿宋" w:eastAsia="仿宋" w:cs="仿宋"/>
          <w:b w:val="0"/>
          <w:bCs w:val="0"/>
          <w:kern w:val="0"/>
          <w:sz w:val="30"/>
          <w:szCs w:val="30"/>
          <w:shd w:val="clear" w:color="auto" w:fill="FFFFFF"/>
        </w:rPr>
        <w:t>（十）机关运行经费：指行政单位和参照公务员法管理的事业单位使用一般公共预算财政拨款安排的除人员经费以外的基本支出（即：行政单位和参照公务员法管理的事业单位使用一般公共预算财政拨款安排的基本支出中的日常公用经费支出）。</w:t>
      </w:r>
    </w:p>
    <w:p>
      <w:pPr>
        <w:rPr>
          <w:b w:val="0"/>
          <w:bCs w:val="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226D98"/>
    <w:multiLevelType w:val="multilevel"/>
    <w:tmpl w:val="57226D98"/>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9927078"/>
    <w:multiLevelType w:val="multilevel"/>
    <w:tmpl w:val="59927078"/>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7CDD7713"/>
    <w:multiLevelType w:val="multilevel"/>
    <w:tmpl w:val="7CDD7713"/>
    <w:lvl w:ilvl="0" w:tentative="0">
      <w:start w:val="1"/>
      <w:numFmt w:val="decimal"/>
      <w:suff w:val="nothing"/>
      <w:lvlText w:val="%1."/>
      <w:lvlJc w:val="left"/>
      <w:pPr>
        <w:tabs>
          <w:tab w:val="left" w:pos="0"/>
        </w:tabs>
        <w:ind w:left="2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NzEwNmVjMTc4NGI3Y2E1NDI3MTM4MjE5OGY0NjkifQ=="/>
  </w:docVars>
  <w:rsids>
    <w:rsidRoot w:val="00853949"/>
    <w:rsid w:val="0000149E"/>
    <w:rsid w:val="00017EC5"/>
    <w:rsid w:val="000205E4"/>
    <w:rsid w:val="00043B73"/>
    <w:rsid w:val="00045498"/>
    <w:rsid w:val="00056BEC"/>
    <w:rsid w:val="000772BF"/>
    <w:rsid w:val="00080517"/>
    <w:rsid w:val="000857A0"/>
    <w:rsid w:val="000A5A61"/>
    <w:rsid w:val="000E5C35"/>
    <w:rsid w:val="000F14EA"/>
    <w:rsid w:val="000F2329"/>
    <w:rsid w:val="001317B0"/>
    <w:rsid w:val="001428AB"/>
    <w:rsid w:val="001464A5"/>
    <w:rsid w:val="001543A5"/>
    <w:rsid w:val="00165BC6"/>
    <w:rsid w:val="00197351"/>
    <w:rsid w:val="00197FB5"/>
    <w:rsid w:val="001C1AA3"/>
    <w:rsid w:val="001C508A"/>
    <w:rsid w:val="001D20D6"/>
    <w:rsid w:val="00224AA2"/>
    <w:rsid w:val="002375FD"/>
    <w:rsid w:val="00252B9D"/>
    <w:rsid w:val="0025754D"/>
    <w:rsid w:val="00270BE0"/>
    <w:rsid w:val="0027308E"/>
    <w:rsid w:val="00275856"/>
    <w:rsid w:val="00284A12"/>
    <w:rsid w:val="002A1F0C"/>
    <w:rsid w:val="002A6385"/>
    <w:rsid w:val="002C43C3"/>
    <w:rsid w:val="002D02D5"/>
    <w:rsid w:val="003018D5"/>
    <w:rsid w:val="00304899"/>
    <w:rsid w:val="003069E5"/>
    <w:rsid w:val="00307E90"/>
    <w:rsid w:val="0031178D"/>
    <w:rsid w:val="003163BB"/>
    <w:rsid w:val="003361E2"/>
    <w:rsid w:val="0034186C"/>
    <w:rsid w:val="003445B5"/>
    <w:rsid w:val="0034680F"/>
    <w:rsid w:val="003674BE"/>
    <w:rsid w:val="003B39F6"/>
    <w:rsid w:val="003C037A"/>
    <w:rsid w:val="003D7CF3"/>
    <w:rsid w:val="00435F48"/>
    <w:rsid w:val="00455E06"/>
    <w:rsid w:val="004802EB"/>
    <w:rsid w:val="00484748"/>
    <w:rsid w:val="00484FF5"/>
    <w:rsid w:val="0048791B"/>
    <w:rsid w:val="004C683A"/>
    <w:rsid w:val="004D7D14"/>
    <w:rsid w:val="004E3991"/>
    <w:rsid w:val="00504D4A"/>
    <w:rsid w:val="0056618D"/>
    <w:rsid w:val="00576BB3"/>
    <w:rsid w:val="00584D90"/>
    <w:rsid w:val="00587EDC"/>
    <w:rsid w:val="005D5751"/>
    <w:rsid w:val="00605BC3"/>
    <w:rsid w:val="006115A9"/>
    <w:rsid w:val="006178AB"/>
    <w:rsid w:val="00620C47"/>
    <w:rsid w:val="0062671D"/>
    <w:rsid w:val="00631367"/>
    <w:rsid w:val="00641228"/>
    <w:rsid w:val="0065186E"/>
    <w:rsid w:val="00681D0E"/>
    <w:rsid w:val="006850B8"/>
    <w:rsid w:val="006A2018"/>
    <w:rsid w:val="006C64DC"/>
    <w:rsid w:val="00762ECD"/>
    <w:rsid w:val="0077057A"/>
    <w:rsid w:val="00774968"/>
    <w:rsid w:val="0078013A"/>
    <w:rsid w:val="00786229"/>
    <w:rsid w:val="007A3133"/>
    <w:rsid w:val="007F2F5B"/>
    <w:rsid w:val="0081535C"/>
    <w:rsid w:val="00844DDB"/>
    <w:rsid w:val="00853949"/>
    <w:rsid w:val="00867637"/>
    <w:rsid w:val="0089186A"/>
    <w:rsid w:val="008A1B6B"/>
    <w:rsid w:val="008E3E00"/>
    <w:rsid w:val="008F0443"/>
    <w:rsid w:val="008F4361"/>
    <w:rsid w:val="008F7B3B"/>
    <w:rsid w:val="00907113"/>
    <w:rsid w:val="00917948"/>
    <w:rsid w:val="009402EC"/>
    <w:rsid w:val="00961CE6"/>
    <w:rsid w:val="009623E4"/>
    <w:rsid w:val="009643B6"/>
    <w:rsid w:val="009848F0"/>
    <w:rsid w:val="009C6E6C"/>
    <w:rsid w:val="00A03047"/>
    <w:rsid w:val="00A30DBC"/>
    <w:rsid w:val="00A42726"/>
    <w:rsid w:val="00A5776A"/>
    <w:rsid w:val="00A6026E"/>
    <w:rsid w:val="00A64634"/>
    <w:rsid w:val="00A67372"/>
    <w:rsid w:val="00A72AE9"/>
    <w:rsid w:val="00A74EFD"/>
    <w:rsid w:val="00A8393C"/>
    <w:rsid w:val="00A842CF"/>
    <w:rsid w:val="00A84EB8"/>
    <w:rsid w:val="00AA7EB0"/>
    <w:rsid w:val="00AB4420"/>
    <w:rsid w:val="00AC4A2E"/>
    <w:rsid w:val="00AC5642"/>
    <w:rsid w:val="00AC59C2"/>
    <w:rsid w:val="00AE1A6D"/>
    <w:rsid w:val="00AE5054"/>
    <w:rsid w:val="00AF7CA2"/>
    <w:rsid w:val="00B41A49"/>
    <w:rsid w:val="00B7125D"/>
    <w:rsid w:val="00B714B6"/>
    <w:rsid w:val="00B745EF"/>
    <w:rsid w:val="00B74D8F"/>
    <w:rsid w:val="00B87AED"/>
    <w:rsid w:val="00B93135"/>
    <w:rsid w:val="00B97F9B"/>
    <w:rsid w:val="00BA3B47"/>
    <w:rsid w:val="00BA48EC"/>
    <w:rsid w:val="00BE6495"/>
    <w:rsid w:val="00C00700"/>
    <w:rsid w:val="00C02AA4"/>
    <w:rsid w:val="00C0312C"/>
    <w:rsid w:val="00C03DF8"/>
    <w:rsid w:val="00C12398"/>
    <w:rsid w:val="00C1682E"/>
    <w:rsid w:val="00C43D1B"/>
    <w:rsid w:val="00C73803"/>
    <w:rsid w:val="00C748F8"/>
    <w:rsid w:val="00C871CE"/>
    <w:rsid w:val="00CA1E40"/>
    <w:rsid w:val="00CB35E9"/>
    <w:rsid w:val="00CB5B19"/>
    <w:rsid w:val="00CB7E3C"/>
    <w:rsid w:val="00D053AE"/>
    <w:rsid w:val="00D14B54"/>
    <w:rsid w:val="00D331B0"/>
    <w:rsid w:val="00D3512F"/>
    <w:rsid w:val="00D45648"/>
    <w:rsid w:val="00D461E8"/>
    <w:rsid w:val="00D6132B"/>
    <w:rsid w:val="00D6500B"/>
    <w:rsid w:val="00D750DA"/>
    <w:rsid w:val="00D819C9"/>
    <w:rsid w:val="00D912D2"/>
    <w:rsid w:val="00DD0448"/>
    <w:rsid w:val="00DE5F59"/>
    <w:rsid w:val="00DE7C22"/>
    <w:rsid w:val="00DF0E83"/>
    <w:rsid w:val="00E00E65"/>
    <w:rsid w:val="00E0408A"/>
    <w:rsid w:val="00E14A2F"/>
    <w:rsid w:val="00E45D30"/>
    <w:rsid w:val="00E94D45"/>
    <w:rsid w:val="00EA16C8"/>
    <w:rsid w:val="00EB46A6"/>
    <w:rsid w:val="00EC0451"/>
    <w:rsid w:val="00EC10B0"/>
    <w:rsid w:val="00EC593A"/>
    <w:rsid w:val="00ED2C6B"/>
    <w:rsid w:val="00F34FD7"/>
    <w:rsid w:val="00F43D36"/>
    <w:rsid w:val="00F73D4F"/>
    <w:rsid w:val="00F909CD"/>
    <w:rsid w:val="00F94389"/>
    <w:rsid w:val="00FB0545"/>
    <w:rsid w:val="00FD0999"/>
    <w:rsid w:val="00FD45D6"/>
    <w:rsid w:val="00FD49D1"/>
    <w:rsid w:val="00FE6B6B"/>
    <w:rsid w:val="00FF1478"/>
    <w:rsid w:val="00FF4FE3"/>
    <w:rsid w:val="0B2C17A1"/>
    <w:rsid w:val="11EE1452"/>
    <w:rsid w:val="24C70ED7"/>
    <w:rsid w:val="35696665"/>
    <w:rsid w:val="41187055"/>
    <w:rsid w:val="42D771AE"/>
    <w:rsid w:val="52064388"/>
    <w:rsid w:val="5B603FFC"/>
    <w:rsid w:val="5CD06F1C"/>
    <w:rsid w:val="74651E02"/>
    <w:rsid w:val="794D2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2 Char"/>
    <w:basedOn w:val="6"/>
    <w:link w:val="2"/>
    <w:qFormat/>
    <w:uiPriority w:val="9"/>
    <w:rPr>
      <w:rFonts w:ascii="宋体" w:hAnsi="宋体" w:eastAsia="宋体" w:cs="宋体"/>
      <w:b/>
      <w:bCs/>
      <w:kern w:val="0"/>
      <w:sz w:val="36"/>
      <w:szCs w:val="36"/>
    </w:rPr>
  </w:style>
  <w:style w:type="paragraph" w:customStyle="1" w:styleId="8">
    <w:name w:val="p0"/>
    <w:basedOn w:val="1"/>
    <w:qFormat/>
    <w:uiPriority w:val="0"/>
    <w:pPr>
      <w:widowControl/>
      <w:jc w:val="left"/>
    </w:pPr>
    <w:rPr>
      <w:rFonts w:ascii="宋体" w:hAnsi="宋体" w:eastAsia="宋体" w:cs="宋体"/>
      <w:kern w:val="0"/>
      <w:sz w:val="24"/>
      <w:szCs w:val="24"/>
    </w:rPr>
  </w:style>
  <w:style w:type="character" w:customStyle="1" w:styleId="9">
    <w:name w:val="16"/>
    <w:basedOn w:val="6"/>
    <w:qFormat/>
    <w:uiPriority w:val="0"/>
    <w:rPr>
      <w:rFonts w:hint="default" w:ascii="Times New Roman" w:hAnsi="Times New Roman" w:cs="Times New Roman"/>
      <w:b/>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22</Pages>
  <Words>1829</Words>
  <Characters>10428</Characters>
  <Lines>86</Lines>
  <Paragraphs>24</Paragraphs>
  <TotalTime>4</TotalTime>
  <ScaleCrop>false</ScaleCrop>
  <LinksUpToDate>false</LinksUpToDate>
  <CharactersWithSpaces>12233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2021-10-25T11:22:00Z</dcterms:created>
  <dc:creator>USER-</dc:creator>
  <cp:lastModifiedBy>WPS_1675413553</cp:lastModifiedBy>
  <cp:lastPrinted>2021-10-26T07:16:00Z</cp:lastPrinted>
  <dcterms:modified xsi:type="dcterms:W3CDTF">2024-05-11T02:46:08Z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58E0B1C40092440D804D3880B1A10BDD</vt:lpwstr>
  </property>
</Properties>
</file>