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44" w:rsidRDefault="00D721C2">
      <w:pPr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迪庆州广播电视台</w:t>
      </w:r>
      <w:r>
        <w:rPr>
          <w:rFonts w:ascii="楷体" w:eastAsia="楷体" w:hAnsi="楷体" w:cs="楷体" w:hint="eastAsia"/>
          <w:sz w:val="36"/>
          <w:szCs w:val="36"/>
        </w:rPr>
        <w:t>2021</w:t>
      </w:r>
      <w:r>
        <w:rPr>
          <w:rFonts w:ascii="楷体" w:eastAsia="楷体" w:hAnsi="楷体" w:cs="楷体" w:hint="eastAsia"/>
          <w:sz w:val="36"/>
          <w:szCs w:val="36"/>
        </w:rPr>
        <w:t>年度审计查出问题清单</w:t>
      </w:r>
    </w:p>
    <w:tbl>
      <w:tblPr>
        <w:tblStyle w:val="a3"/>
        <w:tblW w:w="0" w:type="auto"/>
        <w:tblLook w:val="04A0"/>
      </w:tblPr>
      <w:tblGrid>
        <w:gridCol w:w="2112"/>
        <w:gridCol w:w="7337"/>
        <w:gridCol w:w="4725"/>
      </w:tblGrid>
      <w:tr w:rsidR="00784F44">
        <w:tc>
          <w:tcPr>
            <w:tcW w:w="2112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</w:t>
            </w:r>
          </w:p>
        </w:tc>
        <w:tc>
          <w:tcPr>
            <w:tcW w:w="7337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具体问题</w:t>
            </w:r>
          </w:p>
        </w:tc>
        <w:tc>
          <w:tcPr>
            <w:tcW w:w="4725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整改情况</w:t>
            </w:r>
          </w:p>
        </w:tc>
      </w:tr>
      <w:tr w:rsidR="00784F44">
        <w:tc>
          <w:tcPr>
            <w:tcW w:w="2112" w:type="dxa"/>
            <w:vMerge w:val="restart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预算编制和执行方面</w:t>
            </w:r>
          </w:p>
        </w:tc>
        <w:tc>
          <w:tcPr>
            <w:tcW w:w="7337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对“决算报表反映不实”的问题</w:t>
            </w:r>
          </w:p>
        </w:tc>
        <w:tc>
          <w:tcPr>
            <w:tcW w:w="4725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已完成整改</w:t>
            </w:r>
          </w:p>
        </w:tc>
      </w:tr>
      <w:tr w:rsidR="00784F44">
        <w:tc>
          <w:tcPr>
            <w:tcW w:w="2112" w:type="dxa"/>
            <w:vMerge/>
            <w:vAlign w:val="center"/>
          </w:tcPr>
          <w:p w:rsidR="00784F44" w:rsidRDefault="00784F4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7337" w:type="dxa"/>
            <w:vAlign w:val="center"/>
          </w:tcPr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对“违反规定自行设定非税收入纳税标准、坐支和</w:t>
            </w:r>
          </w:p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不及时缴纳非税收入”的问题</w:t>
            </w:r>
          </w:p>
        </w:tc>
        <w:tc>
          <w:tcPr>
            <w:tcW w:w="4725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已完成整改</w:t>
            </w:r>
          </w:p>
        </w:tc>
      </w:tr>
      <w:tr w:rsidR="00784F44">
        <w:tc>
          <w:tcPr>
            <w:tcW w:w="2112" w:type="dxa"/>
            <w:vMerge/>
            <w:vAlign w:val="center"/>
          </w:tcPr>
          <w:p w:rsidR="00784F44" w:rsidRDefault="00784F4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7337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对“账表不符”的问题</w:t>
            </w:r>
          </w:p>
        </w:tc>
        <w:tc>
          <w:tcPr>
            <w:tcW w:w="4725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已完成整改</w:t>
            </w:r>
          </w:p>
        </w:tc>
      </w:tr>
      <w:tr w:rsidR="00784F44">
        <w:tc>
          <w:tcPr>
            <w:tcW w:w="2112" w:type="dxa"/>
            <w:vMerge w:val="restart"/>
            <w:vAlign w:val="center"/>
          </w:tcPr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加预算绩效</w:t>
            </w:r>
          </w:p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管理方面</w:t>
            </w:r>
          </w:p>
          <w:p w:rsidR="00784F44" w:rsidRDefault="00784F4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7337" w:type="dxa"/>
            <w:vAlign w:val="center"/>
          </w:tcPr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对“未制定出台绩效评价的监控制度和部门绩效</w:t>
            </w:r>
          </w:p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评价办法”的问题</w:t>
            </w:r>
          </w:p>
        </w:tc>
        <w:tc>
          <w:tcPr>
            <w:tcW w:w="4725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已完成整改</w:t>
            </w:r>
          </w:p>
        </w:tc>
      </w:tr>
      <w:tr w:rsidR="00784F44">
        <w:tc>
          <w:tcPr>
            <w:tcW w:w="2112" w:type="dxa"/>
            <w:vMerge/>
            <w:vAlign w:val="center"/>
          </w:tcPr>
          <w:p w:rsidR="00784F44" w:rsidRDefault="00784F4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7337" w:type="dxa"/>
            <w:vAlign w:val="center"/>
          </w:tcPr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对“项目预算绩效目标编制未做到具体细化、合理可行，不利于考核”的问题</w:t>
            </w:r>
          </w:p>
        </w:tc>
        <w:tc>
          <w:tcPr>
            <w:tcW w:w="4725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已完成整改</w:t>
            </w:r>
          </w:p>
        </w:tc>
      </w:tr>
      <w:tr w:rsidR="00784F44">
        <w:tc>
          <w:tcPr>
            <w:tcW w:w="2112" w:type="dxa"/>
            <w:vAlign w:val="center"/>
          </w:tcPr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国有资产</w:t>
            </w:r>
          </w:p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管理方面</w:t>
            </w:r>
          </w:p>
        </w:tc>
        <w:tc>
          <w:tcPr>
            <w:tcW w:w="7337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对“固定资产管理不到位”的问题</w:t>
            </w:r>
          </w:p>
        </w:tc>
        <w:tc>
          <w:tcPr>
            <w:tcW w:w="4725" w:type="dxa"/>
            <w:vAlign w:val="center"/>
          </w:tcPr>
          <w:p w:rsidR="00784F44" w:rsidRDefault="00D54C89" w:rsidP="00D54C89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</w:t>
            </w:r>
            <w:r w:rsidR="00D721C2">
              <w:rPr>
                <w:rFonts w:ascii="楷体" w:eastAsia="楷体" w:hAnsi="楷体" w:cs="楷体" w:hint="eastAsia"/>
                <w:sz w:val="28"/>
                <w:szCs w:val="28"/>
              </w:rPr>
              <w:t>完成</w:t>
            </w:r>
            <w:r w:rsidR="00D721C2">
              <w:rPr>
                <w:rFonts w:ascii="楷体" w:eastAsia="楷体" w:hAnsi="楷体" w:cs="楷体" w:hint="eastAsia"/>
                <w:sz w:val="28"/>
                <w:szCs w:val="28"/>
              </w:rPr>
              <w:t>整改</w:t>
            </w:r>
          </w:p>
        </w:tc>
      </w:tr>
      <w:tr w:rsidR="00784F44">
        <w:tc>
          <w:tcPr>
            <w:tcW w:w="2112" w:type="dxa"/>
            <w:vMerge w:val="restart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其他方面</w:t>
            </w:r>
          </w:p>
        </w:tc>
        <w:tc>
          <w:tcPr>
            <w:tcW w:w="7337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对“建设项目管理不规范”的问题</w:t>
            </w:r>
          </w:p>
        </w:tc>
        <w:tc>
          <w:tcPr>
            <w:tcW w:w="4725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已完成整改</w:t>
            </w:r>
          </w:p>
        </w:tc>
      </w:tr>
      <w:tr w:rsidR="00784F44">
        <w:tc>
          <w:tcPr>
            <w:tcW w:w="2112" w:type="dxa"/>
            <w:vMerge/>
            <w:vAlign w:val="center"/>
          </w:tcPr>
          <w:p w:rsidR="00784F44" w:rsidRDefault="00784F4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7337" w:type="dxa"/>
            <w:vAlign w:val="center"/>
          </w:tcPr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对“坐支广告费、代理费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600000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元用于</w:t>
            </w:r>
          </w:p>
          <w:p w:rsidR="00784F44" w:rsidRDefault="00D721C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支付工程款”的问题</w:t>
            </w:r>
          </w:p>
        </w:tc>
        <w:tc>
          <w:tcPr>
            <w:tcW w:w="4725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已完成整改</w:t>
            </w:r>
          </w:p>
        </w:tc>
      </w:tr>
      <w:tr w:rsidR="00784F44">
        <w:tc>
          <w:tcPr>
            <w:tcW w:w="2112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以前年度未整改方面</w:t>
            </w:r>
          </w:p>
        </w:tc>
        <w:tc>
          <w:tcPr>
            <w:tcW w:w="7337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对“以前年度审计查出问题整改不到位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1413764.55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元”的问题</w:t>
            </w:r>
          </w:p>
        </w:tc>
        <w:tc>
          <w:tcPr>
            <w:tcW w:w="4725" w:type="dxa"/>
            <w:vAlign w:val="center"/>
          </w:tcPr>
          <w:p w:rsidR="00784F44" w:rsidRDefault="00D721C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已完成整改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50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万元</w:t>
            </w:r>
          </w:p>
        </w:tc>
      </w:tr>
    </w:tbl>
    <w:p w:rsidR="00784F44" w:rsidRDefault="00784F44">
      <w:pPr>
        <w:spacing w:line="360" w:lineRule="exact"/>
        <w:rPr>
          <w:rFonts w:ascii="楷体" w:eastAsia="楷体" w:hAnsi="楷体" w:cs="楷体"/>
          <w:sz w:val="36"/>
          <w:szCs w:val="36"/>
        </w:rPr>
      </w:pPr>
    </w:p>
    <w:sectPr w:rsidR="00784F44" w:rsidSect="00784F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YyZjFlNTVmMDdhYjI1NzI5NzEwYWI0NWI4NDRhMTcifQ=="/>
  </w:docVars>
  <w:rsids>
    <w:rsidRoot w:val="00784F44"/>
    <w:rsid w:val="00784F44"/>
    <w:rsid w:val="00D54C89"/>
    <w:rsid w:val="00D721C2"/>
    <w:rsid w:val="0A4879C2"/>
    <w:rsid w:val="13D6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F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小丸子</dc:creator>
  <cp:lastModifiedBy>Administrator</cp:lastModifiedBy>
  <cp:revision>2</cp:revision>
  <cp:lastPrinted>2022-10-26T00:38:00Z</cp:lastPrinted>
  <dcterms:created xsi:type="dcterms:W3CDTF">2022-11-21T04:04:00Z</dcterms:created>
  <dcterms:modified xsi:type="dcterms:W3CDTF">2022-11-21T04:04:00Z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82FECA9507D64068BFCEF3FD68D2FF12</vt:lpwstr>
  </property>
</Properties>
</file>