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9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60"/>
        <w:gridCol w:w="7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8910"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迪庆藏族自治州2020年重点工作情况解释说明汇总表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860" w:type="dxa"/>
            <w:shd w:val="clear" w:color="auto" w:fill="auto"/>
            <w:vAlign w:val="center"/>
          </w:tcPr>
          <w:p>
            <w:pPr>
              <w:rPr>
                <w:rFonts w:hint="eastAsia" w:ascii="等线" w:hAnsi="等线" w:eastAsia="等线" w:cs="等线"/>
                <w:i w:val="0"/>
                <w:color w:val="000000"/>
                <w:sz w:val="22"/>
                <w:szCs w:val="22"/>
                <w:u w:val="none"/>
              </w:rPr>
            </w:pPr>
          </w:p>
        </w:tc>
        <w:tc>
          <w:tcPr>
            <w:tcW w:w="7050" w:type="dxa"/>
            <w:shd w:val="clear" w:color="auto" w:fill="auto"/>
            <w:vAlign w:val="center"/>
          </w:tcPr>
          <w:p>
            <w:pPr>
              <w:rPr>
                <w:rFonts w:hint="default"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860" w:type="dxa"/>
            <w:shd w:val="clear" w:color="auto" w:fill="auto"/>
            <w:vAlign w:val="center"/>
          </w:tcPr>
          <w:p>
            <w:pPr>
              <w:rPr>
                <w:rFonts w:hint="eastAsia" w:ascii="等线" w:hAnsi="等线" w:eastAsia="等线" w:cs="等线"/>
                <w:i w:val="0"/>
                <w:color w:val="000000"/>
                <w:sz w:val="22"/>
                <w:szCs w:val="22"/>
                <w:u w:val="none"/>
              </w:rPr>
            </w:pPr>
          </w:p>
        </w:tc>
        <w:tc>
          <w:tcPr>
            <w:tcW w:w="7050" w:type="dxa"/>
            <w:shd w:val="clear" w:color="auto" w:fill="auto"/>
            <w:vAlign w:val="center"/>
          </w:tcPr>
          <w:p>
            <w:pPr>
              <w:rPr>
                <w:rFonts w:hint="default"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转移支付</w:t>
            </w:r>
          </w:p>
        </w:tc>
        <w:tc>
          <w:tcPr>
            <w:tcW w:w="7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20</w:t>
            </w:r>
            <w:r>
              <w:rPr>
                <w:rFonts w:hint="eastAsia" w:ascii="宋体" w:hAnsi="宋体" w:eastAsia="宋体" w:cs="宋体"/>
                <w:i w:val="0"/>
                <w:color w:val="000000"/>
                <w:sz w:val="20"/>
                <w:szCs w:val="20"/>
                <w:u w:val="none"/>
                <w:lang w:val="en-US" w:eastAsia="zh-CN"/>
              </w:rPr>
              <w:t>20</w:t>
            </w:r>
            <w:r>
              <w:rPr>
                <w:rFonts w:hint="eastAsia" w:ascii="宋体" w:hAnsi="宋体" w:eastAsia="宋体" w:cs="宋体"/>
                <w:i w:val="0"/>
                <w:color w:val="000000"/>
                <w:sz w:val="20"/>
                <w:szCs w:val="20"/>
                <w:u w:val="none"/>
              </w:rPr>
              <w:t>年，</w:t>
            </w:r>
            <w:r>
              <w:rPr>
                <w:rFonts w:hint="eastAsia" w:ascii="宋体" w:hAnsi="宋体" w:eastAsia="宋体" w:cs="宋体"/>
                <w:i w:val="0"/>
                <w:color w:val="000000"/>
                <w:sz w:val="20"/>
                <w:szCs w:val="20"/>
                <w:u w:val="none"/>
                <w:lang w:eastAsia="zh-CN"/>
              </w:rPr>
              <w:t>州</w:t>
            </w:r>
            <w:r>
              <w:rPr>
                <w:rFonts w:hint="eastAsia" w:ascii="宋体" w:hAnsi="宋体" w:eastAsia="宋体" w:cs="宋体"/>
                <w:i w:val="0"/>
                <w:color w:val="000000"/>
                <w:sz w:val="20"/>
                <w:szCs w:val="20"/>
                <w:u w:val="none"/>
              </w:rPr>
              <w:t>财政</w:t>
            </w:r>
            <w:r>
              <w:rPr>
                <w:rFonts w:hint="eastAsia" w:ascii="宋体" w:hAnsi="宋体" w:eastAsia="宋体" w:cs="宋体"/>
                <w:i w:val="0"/>
                <w:color w:val="000000"/>
                <w:sz w:val="20"/>
                <w:szCs w:val="20"/>
                <w:u w:val="none"/>
                <w:lang w:eastAsia="zh-CN"/>
              </w:rPr>
              <w:t>局将</w:t>
            </w:r>
            <w:r>
              <w:rPr>
                <w:rFonts w:hint="eastAsia" w:ascii="宋体" w:hAnsi="宋体" w:eastAsia="宋体" w:cs="宋体"/>
                <w:i w:val="0"/>
                <w:color w:val="000000"/>
                <w:sz w:val="20"/>
                <w:szCs w:val="20"/>
                <w:u w:val="none"/>
              </w:rPr>
              <w:t>转移支付资金向</w:t>
            </w:r>
            <w:r>
              <w:rPr>
                <w:rFonts w:hint="eastAsia" w:ascii="宋体" w:hAnsi="宋体" w:eastAsia="宋体" w:cs="宋体"/>
                <w:i w:val="0"/>
                <w:color w:val="000000"/>
                <w:sz w:val="20"/>
                <w:szCs w:val="20"/>
                <w:u w:val="none"/>
                <w:lang w:eastAsia="zh-CN"/>
              </w:rPr>
              <w:t>基层</w:t>
            </w:r>
            <w:r>
              <w:rPr>
                <w:rFonts w:hint="eastAsia" w:ascii="宋体" w:hAnsi="宋体" w:eastAsia="宋体" w:cs="宋体"/>
                <w:i w:val="0"/>
                <w:color w:val="000000"/>
                <w:sz w:val="20"/>
                <w:szCs w:val="20"/>
                <w:u w:val="none"/>
              </w:rPr>
              <w:t>管理绩效较好地区倾斜，进一步缩小区域间财力水平差距，推动解决我</w:t>
            </w:r>
            <w:r>
              <w:rPr>
                <w:rFonts w:hint="eastAsia" w:ascii="宋体" w:hAnsi="宋体" w:eastAsia="宋体" w:cs="宋体"/>
                <w:i w:val="0"/>
                <w:color w:val="000000"/>
                <w:sz w:val="20"/>
                <w:szCs w:val="20"/>
                <w:u w:val="none"/>
                <w:lang w:eastAsia="zh-CN"/>
              </w:rPr>
              <w:t>州</w:t>
            </w:r>
            <w:r>
              <w:rPr>
                <w:rFonts w:hint="eastAsia" w:ascii="宋体" w:hAnsi="宋体" w:eastAsia="宋体" w:cs="宋体"/>
                <w:i w:val="0"/>
                <w:color w:val="000000"/>
                <w:sz w:val="20"/>
                <w:szCs w:val="20"/>
                <w:u w:val="none"/>
              </w:rPr>
              <w:t>区域发展不平衡、不充分的问题。全面落实增收留用和税收增收以奖代补政策，坚持保障激励并重，更加注重激励、奖惩结合，推动县（市、区）因地制宜、利用优势发展产业，壮大财源，增强发展内生动力。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55"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举借债务</w:t>
            </w:r>
          </w:p>
        </w:tc>
        <w:tc>
          <w:tcPr>
            <w:tcW w:w="7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20</w:t>
            </w:r>
            <w:r>
              <w:rPr>
                <w:rFonts w:hint="eastAsia" w:ascii="宋体" w:hAnsi="宋体" w:eastAsia="宋体" w:cs="宋体"/>
                <w:i w:val="0"/>
                <w:color w:val="000000"/>
                <w:sz w:val="20"/>
                <w:szCs w:val="20"/>
                <w:u w:val="none"/>
                <w:lang w:val="en-US" w:eastAsia="zh-CN"/>
              </w:rPr>
              <w:t>20</w:t>
            </w:r>
            <w:r>
              <w:rPr>
                <w:rFonts w:hint="eastAsia" w:ascii="宋体" w:hAnsi="宋体" w:eastAsia="宋体" w:cs="宋体"/>
                <w:i w:val="0"/>
                <w:color w:val="000000"/>
                <w:sz w:val="20"/>
                <w:szCs w:val="20"/>
                <w:u w:val="none"/>
              </w:rPr>
              <w:t>年迪庆州举借债务情况：经省人民政府批准，20</w:t>
            </w:r>
            <w:r>
              <w:rPr>
                <w:rFonts w:hint="eastAsia" w:ascii="宋体" w:hAnsi="宋体" w:eastAsia="宋体" w:cs="宋体"/>
                <w:i w:val="0"/>
                <w:color w:val="000000"/>
                <w:sz w:val="20"/>
                <w:szCs w:val="20"/>
                <w:u w:val="none"/>
                <w:lang w:val="en-US" w:eastAsia="zh-CN"/>
              </w:rPr>
              <w:t>20</w:t>
            </w:r>
            <w:r>
              <w:rPr>
                <w:rFonts w:hint="eastAsia" w:ascii="宋体" w:hAnsi="宋体" w:eastAsia="宋体" w:cs="宋体"/>
                <w:i w:val="0"/>
                <w:color w:val="000000"/>
                <w:sz w:val="20"/>
                <w:szCs w:val="20"/>
                <w:u w:val="none"/>
              </w:rPr>
              <w:t>年省财政厅核定我州20</w:t>
            </w:r>
            <w:r>
              <w:rPr>
                <w:rFonts w:hint="eastAsia" w:ascii="宋体" w:hAnsi="宋体" w:eastAsia="宋体" w:cs="宋体"/>
                <w:i w:val="0"/>
                <w:color w:val="000000"/>
                <w:sz w:val="20"/>
                <w:szCs w:val="20"/>
                <w:u w:val="none"/>
                <w:lang w:val="en-US" w:eastAsia="zh-CN"/>
              </w:rPr>
              <w:t>20</w:t>
            </w:r>
            <w:r>
              <w:rPr>
                <w:rFonts w:hint="eastAsia" w:ascii="宋体" w:hAnsi="宋体" w:eastAsia="宋体" w:cs="宋体"/>
                <w:i w:val="0"/>
                <w:color w:val="000000"/>
                <w:sz w:val="20"/>
                <w:szCs w:val="20"/>
                <w:u w:val="none"/>
              </w:rPr>
              <w:t>年地方政府债务限额</w:t>
            </w:r>
            <w:r>
              <w:rPr>
                <w:rFonts w:hint="eastAsia" w:ascii="宋体" w:hAnsi="宋体" w:eastAsia="宋体" w:cs="宋体"/>
                <w:i w:val="0"/>
                <w:color w:val="000000"/>
                <w:sz w:val="20"/>
                <w:szCs w:val="20"/>
                <w:u w:val="none"/>
                <w:lang w:val="en-US" w:eastAsia="zh-CN"/>
              </w:rPr>
              <w:t>116.39</w:t>
            </w:r>
            <w:r>
              <w:rPr>
                <w:rFonts w:hint="eastAsia" w:ascii="宋体" w:hAnsi="宋体" w:eastAsia="宋体" w:cs="宋体"/>
                <w:i w:val="0"/>
                <w:color w:val="000000"/>
                <w:sz w:val="20"/>
                <w:szCs w:val="20"/>
                <w:u w:val="none"/>
              </w:rPr>
              <w:t>亿元，其中一般债券</w:t>
            </w:r>
            <w:r>
              <w:rPr>
                <w:rFonts w:hint="eastAsia" w:ascii="宋体" w:hAnsi="宋体" w:eastAsia="宋体" w:cs="宋体"/>
                <w:i w:val="0"/>
                <w:color w:val="000000"/>
                <w:sz w:val="20"/>
                <w:szCs w:val="20"/>
                <w:u w:val="none"/>
                <w:lang w:val="en-US" w:eastAsia="zh-CN"/>
              </w:rPr>
              <w:t>94.49</w:t>
            </w:r>
            <w:r>
              <w:rPr>
                <w:rFonts w:hint="eastAsia" w:ascii="宋体" w:hAnsi="宋体" w:eastAsia="宋体" w:cs="宋体"/>
                <w:i w:val="0"/>
                <w:color w:val="000000"/>
                <w:sz w:val="20"/>
                <w:szCs w:val="20"/>
                <w:u w:val="none"/>
              </w:rPr>
              <w:t>亿元，专项债券</w:t>
            </w:r>
            <w:r>
              <w:rPr>
                <w:rFonts w:hint="eastAsia" w:ascii="宋体" w:hAnsi="宋体" w:eastAsia="宋体" w:cs="宋体"/>
                <w:i w:val="0"/>
                <w:color w:val="000000"/>
                <w:sz w:val="20"/>
                <w:szCs w:val="20"/>
                <w:u w:val="none"/>
                <w:lang w:val="en-US" w:eastAsia="zh-CN"/>
              </w:rPr>
              <w:t>21.9</w:t>
            </w:r>
            <w:r>
              <w:rPr>
                <w:rFonts w:hint="eastAsia" w:ascii="宋体" w:hAnsi="宋体" w:eastAsia="宋体" w:cs="宋体"/>
                <w:i w:val="0"/>
                <w:color w:val="000000"/>
                <w:sz w:val="20"/>
                <w:szCs w:val="20"/>
                <w:u w:val="none"/>
              </w:rPr>
              <w:t>亿元。20</w:t>
            </w:r>
            <w:r>
              <w:rPr>
                <w:rFonts w:hint="eastAsia" w:ascii="宋体" w:hAnsi="宋体" w:eastAsia="宋体" w:cs="宋体"/>
                <w:i w:val="0"/>
                <w:color w:val="000000"/>
                <w:sz w:val="20"/>
                <w:szCs w:val="20"/>
                <w:u w:val="none"/>
                <w:lang w:val="en-US" w:eastAsia="zh-CN"/>
              </w:rPr>
              <w:t>20</w:t>
            </w:r>
            <w:r>
              <w:rPr>
                <w:rFonts w:hint="eastAsia" w:ascii="宋体" w:hAnsi="宋体" w:eastAsia="宋体" w:cs="宋体"/>
                <w:i w:val="0"/>
                <w:color w:val="000000"/>
                <w:sz w:val="20"/>
                <w:szCs w:val="20"/>
                <w:u w:val="none"/>
              </w:rPr>
              <w:t>年，全州共发行地方政府债券</w:t>
            </w:r>
            <w:r>
              <w:rPr>
                <w:rFonts w:hint="eastAsia" w:ascii="宋体" w:hAnsi="宋体" w:eastAsia="宋体" w:cs="宋体"/>
                <w:i w:val="0"/>
                <w:color w:val="000000"/>
                <w:sz w:val="20"/>
                <w:szCs w:val="20"/>
                <w:u w:val="none"/>
                <w:lang w:val="en-US" w:eastAsia="zh-CN"/>
              </w:rPr>
              <w:t>23.1758</w:t>
            </w:r>
            <w:r>
              <w:rPr>
                <w:rFonts w:hint="eastAsia" w:ascii="宋体" w:hAnsi="宋体" w:eastAsia="宋体" w:cs="宋体"/>
                <w:i w:val="0"/>
                <w:color w:val="000000"/>
                <w:sz w:val="20"/>
                <w:szCs w:val="20"/>
                <w:u w:val="none"/>
              </w:rPr>
              <w:t>亿元，其中新增债券</w:t>
            </w:r>
            <w:r>
              <w:rPr>
                <w:rFonts w:hint="eastAsia" w:ascii="宋体" w:hAnsi="宋体" w:eastAsia="宋体" w:cs="宋体"/>
                <w:i w:val="0"/>
                <w:color w:val="000000"/>
                <w:sz w:val="20"/>
                <w:szCs w:val="20"/>
                <w:u w:val="none"/>
                <w:lang w:val="en-US" w:eastAsia="zh-CN"/>
              </w:rPr>
              <w:t>14.4458</w:t>
            </w:r>
            <w:r>
              <w:rPr>
                <w:rFonts w:hint="eastAsia" w:ascii="宋体" w:hAnsi="宋体" w:eastAsia="宋体" w:cs="宋体"/>
                <w:i w:val="0"/>
                <w:color w:val="000000"/>
                <w:sz w:val="20"/>
                <w:szCs w:val="20"/>
                <w:u w:val="none"/>
              </w:rPr>
              <w:t>亿元，再融资债券</w:t>
            </w:r>
            <w:r>
              <w:rPr>
                <w:rFonts w:hint="eastAsia" w:ascii="宋体" w:hAnsi="宋体" w:eastAsia="宋体" w:cs="宋体"/>
                <w:i w:val="0"/>
                <w:color w:val="000000"/>
                <w:sz w:val="20"/>
                <w:szCs w:val="20"/>
                <w:u w:val="none"/>
                <w:lang w:val="en-US" w:eastAsia="zh-CN"/>
              </w:rPr>
              <w:t>8.73</w:t>
            </w:r>
            <w:r>
              <w:rPr>
                <w:rFonts w:hint="eastAsia" w:ascii="宋体" w:hAnsi="宋体" w:eastAsia="宋体" w:cs="宋体"/>
                <w:i w:val="0"/>
                <w:color w:val="000000"/>
                <w:sz w:val="20"/>
                <w:szCs w:val="20"/>
                <w:u w:val="none"/>
              </w:rPr>
              <w:t>亿元。新增债券安排原则。一是坚持服务大局、大项目带动。在同等条件下，优先安排落实党中央、国务院、省委、省政府决策部署以及州委、州政府决定实施的重大项目。对承担重大战略任务的县、市予以重点考虑。二是坚持大干大支持。为调动各地积极性，更好发挥重点地区支撑作用，对项目储备积极、项目质量较高、投资贡献大的县、市给予优先考虑和支持，对债务风险化解力度大、债券资金使用情况较好地区予以倾斜。三是坚持“资金跟着项目走”。以项目为导向，不搞平均主义，以项目储备数量、项目成熟度、项目融资平衡、能够尽快形成实物工作量为准则，向前期工作准备充分、具备发债条件项目占比高、能够尽快拉动有效投资项目多的县、市倾料。四是全面落实重大决策部署。根据中央、省明确的新增债券使用的原则和重点方向，按照州委、州政府部署，汇总了各地具体项目报州人民政府审定后，报州人大常委会备案。</w:t>
            </w:r>
            <w:bookmarkStart w:id="0" w:name="_GoBack"/>
            <w:bookmarkEnd w:id="0"/>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55"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预算绩效</w:t>
            </w:r>
          </w:p>
        </w:tc>
        <w:tc>
          <w:tcPr>
            <w:tcW w:w="7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面推进预算绩效管理，财政资金绩效稳步提高。单位在申请资金的同时，就承担相应资金使用责任，资金使用效果的好坏，就是相应的绩效责任。近年来，预算管理改革工作致力于培养预算单位树立绩效管理的主体责任意识，将绩效管理的理念和方法融入到预算管理全过程，基本做到部门预算编制时同步开展事前预算绩效评价，实现预算绩效目标与部门预算同步申报、同步审核、同步批复、同步下达和同步公开。探索绩效评价结果应用机制，绩效目标审核结果作为部门预算安排的重要因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53F16"/>
    <w:rsid w:val="299552C8"/>
    <w:rsid w:val="2D572705"/>
    <w:rsid w:val="3003771F"/>
    <w:rsid w:val="31D53F16"/>
    <w:rsid w:val="4DC61100"/>
    <w:rsid w:val="4EB90D03"/>
    <w:rsid w:val="58564C6F"/>
    <w:rsid w:val="65C101CC"/>
    <w:rsid w:val="67596FE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迪庆州财政局</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2019-10-06T07:03:00Z</dcterms:created>
  <dc:creator>和琼芬</dc:creator>
  <cp:lastModifiedBy>和琼芬</cp:lastModifiedBy>
  <cp:lastPrinted>2021-10-09T08:18:30Z</cp:lastPrinted>
  <dcterms:modified xsi:type="dcterms:W3CDTF">2021-10-09T08:37:27Z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