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ind/>
        <w:rPr>
          <w:rFonts w:ascii="Arial" w:hAnsi="Arial" w:eastAsia="Arial" w:cs="Arial"/>
          <w:b/>
          <w:sz w:val="36"/>
        </w:rPr>
      </w:pPr>
      <w:r>
        <w:rPr>
          <w:rFonts w:ascii="Arial" w:hAnsi="Arial" w:eastAsia="Arial" w:cs="Arial"/>
          <w:b/>
          <w:sz w:val="36"/>
        </w:rPr>
        <w:t xml:space="preserve">监督索引号53340000432901000</w:t>
      </w:r>
      <w:r>
        <w:rPr>
          <w:rFonts w:ascii="Arial" w:hAnsi="Arial" w:eastAsia="Arial" w:cs="Arial"/>
          <w:b/>
          <w:sz w:val="36"/>
        </w:rPr>
      </w:r>
      <w:r>
        <w:rPr>
          <w:rFonts w:ascii="Arial" w:hAnsi="Arial" w:eastAsia="Arial" w:cs="Arial"/>
          <w:b/>
          <w:sz w:val="36"/>
        </w:rPr>
      </w:r>
    </w:p>
    <w:p>
      <w:pPr>
        <w:pStyle w:val="629"/>
        <w:pBdr/>
        <w:spacing w:after="0" w:before="0" w:line="590" w:lineRule="atLeast"/>
        <w:ind w:right="0" w:left="0"/>
        <w:jc w:val="center"/>
        <w:rPr>
          <w:rFonts w:ascii="Times New Roman" w:hAnsi="Times New Roman" w:eastAsia="Times New Roman" w:cs="Times New Roman"/>
          <w:sz w:val="21"/>
          <w:szCs w:val="21"/>
        </w:rPr>
      </w:pPr>
      <w:r>
        <w:rPr>
          <w:rFonts w:ascii="方正小标宋简体" w:hAnsi="方正小标宋简体" w:eastAsia="方正小标宋简体" w:cs="方正小标宋简体"/>
          <w:sz w:val="36"/>
          <w:szCs w:val="36"/>
          <w:shd w:val="clear" w:color="auto" w:fill="ffffff"/>
        </w:rPr>
        <w:t xml:space="preserve">迪庆藏族自治州云南白马雪山国家级自然保护区管护局部门2021年度部门决算</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center"/>
        <w:rPr>
          <w:rFonts w:ascii="Times New Roman" w:hAnsi="Times New Roman" w:eastAsia="Times New Roman" w:cs="Times New Roman"/>
          <w:sz w:val="21"/>
          <w:szCs w:val="21"/>
        </w:rPr>
      </w:pPr>
      <w:r>
        <w:rPr>
          <w:sz w:val="36"/>
          <w:szCs w:val="36"/>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center"/>
        <w:rPr>
          <w:rFonts w:ascii="Times New Roman" w:hAnsi="Times New Roman" w:eastAsia="Times New Roman" w:cs="Times New Roman"/>
          <w:sz w:val="21"/>
          <w:szCs w:val="21"/>
        </w:rPr>
      </w:pPr>
      <w:r>
        <w:rPr>
          <w:rFonts w:ascii="黑体" w:hAnsi="黑体" w:eastAsia="黑体" w:cs="黑体"/>
          <w:sz w:val="36"/>
          <w:szCs w:val="36"/>
          <w:shd w:val="clear" w:color="auto" w:fill="ffffff"/>
        </w:rPr>
        <w:t xml:space="preserve">目录</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第一部分 </w:t>
      </w:r>
      <w:r>
        <w:rPr>
          <w:rFonts w:ascii="Calibri" w:hAnsi="Calibri" w:eastAsia="Calibri" w:cs="Calibri"/>
          <w:sz w:val="30"/>
          <w:szCs w:val="30"/>
          <w:shd w:val="clear" w:color="auto" w:fill="ffffff"/>
        </w:rPr>
        <w:t xml:space="preserve"> </w:t>
      </w:r>
      <w:r>
        <w:rPr>
          <w:rFonts w:ascii="黑体" w:hAnsi="黑体" w:eastAsia="黑体" w:cs="黑体"/>
          <w:sz w:val="30"/>
          <w:szCs w:val="30"/>
          <w:shd w:val="clear" w:color="auto" w:fill="ffffff"/>
        </w:rPr>
        <w:t xml:space="preserve">迪庆藏族自治州云南白马雪山国家级自然保护区管护局概况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一、主要职能</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二、部门基本情况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第二部分 </w:t>
      </w:r>
      <w:r>
        <w:rPr>
          <w:rFonts w:ascii="Calibri" w:hAnsi="Calibri" w:eastAsia="Calibri" w:cs="Calibri"/>
          <w:sz w:val="30"/>
          <w:szCs w:val="30"/>
          <w:shd w:val="clear" w:color="auto" w:fill="ffffff"/>
        </w:rPr>
        <w:t xml:space="preserve"> </w:t>
      </w:r>
      <w:r>
        <w:rPr>
          <w:rFonts w:ascii="黑体" w:hAnsi="黑体" w:eastAsia="黑体" w:cs="黑体"/>
          <w:sz w:val="30"/>
          <w:szCs w:val="30"/>
          <w:shd w:val="clear" w:color="auto" w:fill="ffffff"/>
        </w:rPr>
        <w:t xml:space="preserve">2021年度部门决算表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一、收入支出决算总表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二、收入决算表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三、支出决算表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四、财政拨款收入支出决算总表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五、一般公共预算财政拨款收入支出决算表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六、一般公共预算财政拨款基本支出决算表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七、政府性基金预算财政拨款收入支出决算表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八、国有资本经营预算财政拨款收入支出决算表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九、</w:t>
      </w:r>
      <w:r>
        <w:rPr>
          <w:sz w:val="30"/>
          <w:szCs w:val="30"/>
          <w:shd w:val="clear" w:color="auto" w:fill="ffffff"/>
        </w:rPr>
        <w:t xml:space="preserve">“</w:t>
      </w:r>
      <w:r>
        <w:rPr>
          <w:rFonts w:ascii="楷体" w:hAnsi="楷体" w:eastAsia="楷体" w:cs="楷体"/>
          <w:sz w:val="30"/>
          <w:szCs w:val="30"/>
          <w:shd w:val="clear" w:color="auto" w:fill="ffffff"/>
        </w:rPr>
        <w:t xml:space="preserve">三公</w:t>
      </w:r>
      <w:r>
        <w:rPr>
          <w:sz w:val="30"/>
          <w:szCs w:val="30"/>
          <w:shd w:val="clear" w:color="auto" w:fill="ffffff"/>
        </w:rPr>
        <w:t xml:space="preserve">”</w:t>
      </w:r>
      <w:r>
        <w:rPr>
          <w:rFonts w:ascii="楷体" w:hAnsi="楷体" w:eastAsia="楷体" w:cs="楷体"/>
          <w:sz w:val="30"/>
          <w:szCs w:val="30"/>
          <w:shd w:val="clear" w:color="auto" w:fill="ffffff"/>
        </w:rPr>
        <w:t xml:space="preserve">经费、行政参公单位机关运行经费情况表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第三部分 </w:t>
      </w:r>
      <w:r>
        <w:rPr>
          <w:rFonts w:ascii="Calibri" w:hAnsi="Calibri" w:eastAsia="Calibri" w:cs="Calibri"/>
          <w:sz w:val="30"/>
          <w:szCs w:val="30"/>
          <w:shd w:val="clear" w:color="auto" w:fill="ffffff"/>
        </w:rPr>
        <w:t xml:space="preserve"> </w:t>
      </w:r>
      <w:r>
        <w:rPr>
          <w:rFonts w:ascii="黑体" w:hAnsi="黑体" w:eastAsia="黑体" w:cs="黑体"/>
          <w:sz w:val="30"/>
          <w:szCs w:val="30"/>
          <w:shd w:val="clear" w:color="auto" w:fill="ffffff"/>
        </w:rPr>
        <w:t xml:space="preserve">2021年度部门决算情况说明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一、收入决算情况说明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二、支出决算情况说明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三、一般公共预算财政拨款支出决算情况说明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四、一般公共预算财政拨款</w:t>
      </w:r>
      <w:r>
        <w:rPr>
          <w:sz w:val="30"/>
          <w:szCs w:val="30"/>
          <w:shd w:val="clear" w:color="auto" w:fill="ffffff"/>
        </w:rPr>
        <w:t xml:space="preserve">“</w:t>
      </w:r>
      <w:r>
        <w:rPr>
          <w:rFonts w:ascii="楷体" w:hAnsi="楷体" w:eastAsia="楷体" w:cs="楷体"/>
          <w:sz w:val="30"/>
          <w:szCs w:val="30"/>
          <w:shd w:val="clear" w:color="auto" w:fill="ffffff"/>
        </w:rPr>
        <w:t xml:space="preserve">三公</w:t>
      </w:r>
      <w:r>
        <w:rPr>
          <w:sz w:val="30"/>
          <w:szCs w:val="30"/>
          <w:shd w:val="clear" w:color="auto" w:fill="ffffff"/>
        </w:rPr>
        <w:t xml:space="preserve">”</w:t>
      </w:r>
      <w:r>
        <w:rPr>
          <w:rFonts w:ascii="楷体" w:hAnsi="楷体" w:eastAsia="楷体" w:cs="楷体"/>
          <w:sz w:val="30"/>
          <w:szCs w:val="30"/>
          <w:shd w:val="clear" w:color="auto" w:fill="ffffff"/>
        </w:rPr>
        <w:t xml:space="preserve">经费支出决算情况说明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第四部分 </w:t>
      </w:r>
      <w:r>
        <w:rPr>
          <w:rFonts w:ascii="Calibri" w:hAnsi="Calibri" w:eastAsia="Calibri" w:cs="Calibri"/>
          <w:sz w:val="30"/>
          <w:szCs w:val="30"/>
          <w:shd w:val="clear" w:color="auto" w:fill="ffffff"/>
        </w:rPr>
        <w:t xml:space="preserve"> </w:t>
      </w:r>
      <w:r>
        <w:rPr>
          <w:rFonts w:ascii="黑体" w:hAnsi="黑体" w:eastAsia="黑体" w:cs="黑体"/>
          <w:sz w:val="30"/>
          <w:szCs w:val="30"/>
          <w:shd w:val="clear" w:color="auto" w:fill="ffffff"/>
        </w:rPr>
        <w:t xml:space="preserve">其他重要事项及相关口径情况说明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一、机关运行经费支出情况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二、国有资产占用情况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三、政府采购支出情况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四、部门绩效自评情况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（一）部门整体支出绩效自评情况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（二）部门整体支出绩效自评表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（三）项目支出绩效自评表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五、其他重要事项情况说明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第五部分 </w:t>
      </w:r>
      <w:r>
        <w:rPr>
          <w:rFonts w:ascii="Calibri" w:hAnsi="Calibri" w:eastAsia="Calibri" w:cs="Calibri"/>
          <w:sz w:val="30"/>
          <w:szCs w:val="30"/>
          <w:shd w:val="clear" w:color="auto" w:fill="ffffff"/>
        </w:rPr>
        <w:t xml:space="preserve"> </w:t>
      </w:r>
      <w:r>
        <w:rPr>
          <w:rFonts w:ascii="黑体" w:hAnsi="黑体" w:eastAsia="黑体" w:cs="黑体"/>
          <w:sz w:val="30"/>
          <w:szCs w:val="30"/>
          <w:shd w:val="clear" w:color="auto" w:fill="ffffff"/>
        </w:rPr>
        <w:t xml:space="preserve">名词解释</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600" w:lineRule="atLeast"/>
        <w:ind w:right="0" w:left="0"/>
        <w:jc w:val="left"/>
        <w:rPr>
          <w:rFonts w:ascii="Times New Roman" w:hAnsi="Times New Roman" w:eastAsia="Times New Roman" w:cs="Times New Roman"/>
          <w:sz w:val="21"/>
          <w:szCs w:val="21"/>
        </w:rPr>
      </w:pPr>
      <w:r>
        <w:rPr>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600" w:lineRule="atLeast"/>
        <w:ind w:right="0" w:left="0"/>
        <w:jc w:val="left"/>
        <w:rPr>
          <w:rFonts w:ascii="Times New Roman" w:hAnsi="Times New Roman" w:eastAsia="Times New Roman" w:cs="Times New Roman"/>
          <w:sz w:val="21"/>
          <w:szCs w:val="21"/>
        </w:rPr>
      </w:pPr>
      <w:r>
        <w:rPr>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600" w:lineRule="atLeast"/>
        <w:ind w:right="0" w:left="0"/>
        <w:jc w:val="left"/>
        <w:rPr>
          <w:rFonts w:ascii="Times New Roman" w:hAnsi="Times New Roman" w:eastAsia="Times New Roman" w:cs="Times New Roman"/>
          <w:sz w:val="21"/>
          <w:szCs w:val="21"/>
        </w:rPr>
      </w:pPr>
      <w:r>
        <w:rPr>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600" w:lineRule="atLeast"/>
        <w:ind w:right="0" w:left="0"/>
        <w:jc w:val="left"/>
        <w:rPr>
          <w:rFonts w:ascii="Times New Roman" w:hAnsi="Times New Roman" w:eastAsia="Times New Roman" w:cs="Times New Roman"/>
          <w:sz w:val="21"/>
          <w:szCs w:val="21"/>
        </w:rPr>
      </w:pPr>
      <w:r>
        <w:rPr>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center"/>
        <w:rPr>
          <w:rFonts w:ascii="Times New Roman" w:hAnsi="Times New Roman" w:eastAsia="Times New Roman" w:cs="Times New Roman"/>
          <w:sz w:val="21"/>
          <w:szCs w:val="21"/>
        </w:rPr>
      </w:pPr>
      <w:r>
        <w:rPr>
          <w:rFonts w:ascii="黑体" w:hAnsi="黑体" w:eastAsia="黑体" w:cs="黑体"/>
          <w:sz w:val="32"/>
          <w:szCs w:val="32"/>
          <w:shd w:val="clear" w:color="auto" w:fill="ffffff"/>
        </w:rPr>
        <w:t xml:space="preserve">第一部分 </w:t>
      </w:r>
      <w:r>
        <w:rPr>
          <w:rFonts w:ascii="Calibri" w:hAnsi="Calibri" w:eastAsia="Calibri" w:cs="Calibri"/>
          <w:sz w:val="32"/>
          <w:szCs w:val="32"/>
          <w:shd w:val="clear" w:color="auto" w:fill="ffffff"/>
        </w:rPr>
        <w:t xml:space="preserve"> </w:t>
      </w:r>
      <w:r>
        <w:rPr>
          <w:rFonts w:ascii="黑体" w:hAnsi="黑体" w:eastAsia="黑体" w:cs="黑体"/>
          <w:sz w:val="32"/>
          <w:szCs w:val="32"/>
          <w:shd w:val="clear" w:color="auto" w:fill="ffffff"/>
        </w:rPr>
        <w:t xml:space="preserve">迪庆藏族自治州云南白马雪山国家级自然保护区管护局概况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一、主要职能</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（一）主要职能</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40" w:lineRule="atLeast"/>
        <w:ind w:right="0" w:firstLine="320" w:left="0"/>
        <w:rPr>
          <w:rFonts w:ascii="Times New Roman" w:hAnsi="Times New Roman" w:eastAsia="Times New Roman" w:cs="Times New Roman"/>
          <w:sz w:val="21"/>
          <w:szCs w:val="21"/>
        </w:rPr>
      </w:pPr>
      <w:r>
        <w:rPr>
          <w:rFonts w:ascii="仿宋" w:hAnsi="仿宋" w:eastAsia="仿宋" w:cs="仿宋"/>
          <w:sz w:val="32"/>
          <w:szCs w:val="32"/>
        </w:rPr>
        <w:t xml:space="preserve">（1）宣传贯彻执行国家及省有关自然保护区的法律、法规和方针、政策，保护和发展自然保护区内珍稀、濒危野生动植物资源。</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40" w:lineRule="atLeast"/>
        <w:ind w:right="0" w:firstLine="320" w:left="0"/>
        <w:rPr>
          <w:rFonts w:ascii="Times New Roman" w:hAnsi="Times New Roman" w:eastAsia="Times New Roman" w:cs="Times New Roman"/>
          <w:sz w:val="21"/>
          <w:szCs w:val="21"/>
        </w:rPr>
      </w:pPr>
      <w:r>
        <w:rPr>
          <w:rFonts w:ascii="仿宋" w:hAnsi="仿宋" w:eastAsia="仿宋" w:cs="仿宋"/>
          <w:sz w:val="32"/>
          <w:szCs w:val="32"/>
        </w:rPr>
        <w:t xml:space="preserve">（2）负责制定自然保护区的各项规章制度，对保护区的建设和管理工作进行监督、检查、指导；会同有关部门组织查处破坏、侵占保护区的重大事件。</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40" w:lineRule="atLeast"/>
        <w:ind w:right="0" w:firstLine="320" w:left="0"/>
        <w:rPr>
          <w:rFonts w:ascii="Times New Roman" w:hAnsi="Times New Roman" w:eastAsia="Times New Roman" w:cs="Times New Roman"/>
          <w:sz w:val="21"/>
          <w:szCs w:val="21"/>
        </w:rPr>
      </w:pPr>
      <w:r>
        <w:rPr>
          <w:rFonts w:ascii="仿宋" w:hAnsi="仿宋" w:eastAsia="仿宋" w:cs="仿宋"/>
          <w:sz w:val="32"/>
          <w:szCs w:val="32"/>
        </w:rPr>
        <w:t xml:space="preserve">（3）开展自然资源调查并建立档案，协调处理好保护区与周边社区的关系，保护好自然保护区自然资源和自然生态环境。</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40" w:lineRule="atLeast"/>
        <w:ind w:right="0" w:firstLine="320" w:left="0"/>
        <w:rPr>
          <w:rFonts w:ascii="Times New Roman" w:hAnsi="Times New Roman" w:eastAsia="Times New Roman" w:cs="Times New Roman"/>
          <w:sz w:val="21"/>
          <w:szCs w:val="21"/>
        </w:rPr>
      </w:pPr>
      <w:r>
        <w:rPr>
          <w:rFonts w:ascii="仿宋" w:hAnsi="仿宋" w:eastAsia="仿宋" w:cs="仿宋"/>
          <w:sz w:val="32"/>
          <w:szCs w:val="32"/>
        </w:rPr>
        <w:t xml:space="preserve">（4）组织开展自然保护区的科研、监测、科普、宣传教育工作。组织实施自然保护区的总体规划，抓好自然保护区的各项建设。</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40" w:lineRule="atLeast"/>
        <w:ind w:right="0" w:firstLine="320" w:left="0"/>
        <w:rPr>
          <w:rFonts w:ascii="Times New Roman" w:hAnsi="Times New Roman" w:eastAsia="Times New Roman" w:cs="Times New Roman"/>
          <w:sz w:val="21"/>
          <w:szCs w:val="21"/>
        </w:rPr>
      </w:pPr>
      <w:r>
        <w:rPr>
          <w:rFonts w:ascii="Calibri" w:hAnsi="Calibri" w:eastAsia="Calibri" w:cs="Calibri"/>
          <w:sz w:val="32"/>
          <w:szCs w:val="32"/>
        </w:rPr>
        <w:t xml:space="preserve"> </w:t>
      </w:r>
      <w:r>
        <w:rPr>
          <w:rFonts w:ascii="仿宋" w:hAnsi="仿宋" w:eastAsia="仿宋" w:cs="仿宋"/>
          <w:sz w:val="32"/>
          <w:szCs w:val="32"/>
        </w:rPr>
        <w:t xml:space="preserve">（5）在不影响保护区的自然环境和自然资源的前提下，组织开展参观、科考、教学实习、生态旅游等活动，探索保护、发展和合理利用资源的科学途径。</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40" w:lineRule="atLeast"/>
        <w:ind w:right="0" w:firstLine="320" w:left="0"/>
        <w:rPr>
          <w:rFonts w:ascii="Times New Roman" w:hAnsi="Times New Roman" w:eastAsia="Times New Roman" w:cs="Times New Roman"/>
          <w:sz w:val="21"/>
          <w:szCs w:val="21"/>
        </w:rPr>
      </w:pPr>
      <w:r>
        <w:rPr>
          <w:rFonts w:ascii="仿宋" w:hAnsi="仿宋" w:eastAsia="仿宋" w:cs="仿宋"/>
          <w:sz w:val="32"/>
          <w:szCs w:val="32"/>
        </w:rPr>
        <w:t xml:space="preserve">（6）积极开展对外交流与合作、引进国内外合作与援助项目，帮助自然保护区社区群众发展经济，逐步建立自然保护区社区共管体系。</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40" w:lineRule="atLeast"/>
        <w:ind w:right="0" w:firstLine="320" w:left="0"/>
        <w:rPr>
          <w:rFonts w:ascii="Times New Roman" w:hAnsi="Times New Roman" w:eastAsia="Times New Roman" w:cs="Times New Roman"/>
          <w:sz w:val="21"/>
          <w:szCs w:val="21"/>
        </w:rPr>
      </w:pPr>
      <w:r>
        <w:rPr>
          <w:rFonts w:ascii="仿宋" w:hAnsi="仿宋" w:eastAsia="仿宋" w:cs="仿宋"/>
          <w:sz w:val="32"/>
          <w:szCs w:val="32"/>
        </w:rPr>
        <w:t xml:space="preserve">（7）负责自然保护区林地管理，完善边界、界碑，稳定林地权属。</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40" w:lineRule="atLeast"/>
        <w:ind w:right="0" w:firstLine="320" w:left="0"/>
        <w:rPr>
          <w:rFonts w:ascii="Times New Roman" w:hAnsi="Times New Roman" w:eastAsia="Times New Roman" w:cs="Times New Roman"/>
          <w:sz w:val="21"/>
          <w:szCs w:val="21"/>
        </w:rPr>
      </w:pPr>
      <w:r>
        <w:rPr>
          <w:rFonts w:ascii="仿宋" w:hAnsi="仿宋" w:eastAsia="仿宋" w:cs="仿宋"/>
          <w:sz w:val="32"/>
          <w:szCs w:val="32"/>
        </w:rPr>
        <w:t xml:space="preserve">（8）负责自然保护区内野生动物肇事统计补偿工作，探索对野生动物管理的防范措施。</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（二）2021年度重点工作任务介绍</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60" w:lineRule="atLeast"/>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（一）加大资源管护力度，确保生态资源安全。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60" w:lineRule="atLeast"/>
        <w:ind w:right="0" w:firstLine="640" w:left="0"/>
        <w:rPr>
          <w:rFonts w:ascii="Times New Roman" w:hAnsi="Times New Roman" w:eastAsia="Times New Roman" w:cs="Times New Roman"/>
          <w:sz w:val="21"/>
          <w:szCs w:val="21"/>
        </w:rPr>
      </w:pPr>
      <w:r>
        <w:rPr>
          <w:rStyle w:val="625"/>
          <w:rFonts w:ascii="仿宋_GB2312" w:hAnsi="仿宋_GB2312" w:eastAsia="仿宋_GB2312" w:cs="仿宋_GB2312"/>
          <w:sz w:val="32"/>
          <w:szCs w:val="32"/>
        </w:rPr>
        <w:t xml:space="preserve">在资源保护工作上，保护区重点管控区域实现视频监控全覆盖，确保了资源有效的管控，</w:t>
      </w:r>
      <w:r>
        <w:rPr>
          <w:rFonts w:ascii="仿宋_GB2312" w:hAnsi="仿宋_GB2312" w:eastAsia="仿宋_GB2312" w:cs="仿宋_GB2312"/>
          <w:sz w:val="32"/>
          <w:szCs w:val="32"/>
        </w:rPr>
        <w:t xml:space="preserve">以日常巡护、稽查巡护、监测巡护为抓手，加强对生物多样性资源的管护力度，严厉打击一切破坏自然保护区森林和野生动植物资源的违法犯罪行为，严守生态保护红线，遏制重大森林火灾发生，确保生态安全。全年完成巡护共计262次（数据截止11月），其中日常巡护97次，稽查巡护71次，监测巡护94次。案件3起，处理案件3起，下达责令停止违法行为通知4份。</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60" w:lineRule="atLeast"/>
        <w:ind w:right="0" w:firstLine="640" w:left="0"/>
        <w:jc w:val="left"/>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狠抓野生动物疫源疫病监测防控。进一步建立健全野生动物疫源疫病监测预警、检疫御灾、防治减灾三大体系建设，加强</w:t>
      </w:r>
      <w:r>
        <w:rPr>
          <w:rFonts w:ascii="仿宋_GB2312" w:hAnsi="仿宋_GB2312" w:eastAsia="仿宋_GB2312" w:cs="仿宋_GB2312"/>
          <w:sz w:val="32"/>
          <w:szCs w:val="32"/>
        </w:rPr>
        <w:t xml:space="preserve">保护区内野生动物资源安全和当地社区畜牧业健康发展，维护区内生物多样性和生态平衡，年初制定《云南白马雪山国家级自然保护区2021年度野生动物疫源疫病监测防控工作计划》，非重点时期4-6月份内，结合巡护开展疫源疫病监测工作，除奔子栏辖区疫情外其余辖区未发现野生动物染病、患病情况，在采取了一系列有效措施后奔子栏辖区疫病于2021年6月解除，并已及时形成《云南白马雪山国家级自然保护区管护局关于奔子栏辖区野生动物疫源疫病监测防控工作报告》上报省、州林业和草原局。全年共上报监测日报268次，监测周报15次，快报12次。</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加大投入力度，积极申报疫源疫病专项项目。1.向州级财政专项资金中申报10万元疫源疫病项目，已得到批复正在实施，主要用于监测站所疫病培训、保护区疫病排查。3.向州林业和草原局提交131.51万元疫源疫病调查监测项目建议书，项目申报内容为保护区监测站点设备购置、疫病防控宣传、监测站点人员培训及疫源疫病巡护监测。3.向国家林业和草原局野生动物疫源疫病监测总站申报252.9万元监测站优化升级改造项目。2、3项目前正在对接中，还未批复。</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环保督察方面。</w:t>
      </w:r>
      <w:r>
        <w:rPr>
          <w:rFonts w:ascii="仿宋_GB2312" w:hAnsi="仿宋_GB2312" w:eastAsia="仿宋_GB2312" w:cs="仿宋_GB2312"/>
          <w:b w:val="0"/>
          <w:bCs w:val="0"/>
          <w:sz w:val="32"/>
          <w:szCs w:val="32"/>
        </w:rPr>
        <w:t xml:space="preserve">一是</w:t>
      </w:r>
      <w:r>
        <w:rPr>
          <w:rFonts w:ascii="仿宋_GB2312" w:hAnsi="仿宋_GB2312" w:eastAsia="仿宋_GB2312" w:cs="仿宋_GB2312"/>
          <w:sz w:val="32"/>
          <w:szCs w:val="32"/>
        </w:rPr>
        <w:t xml:space="preserve">及时对接掌握奔子栏水电站建设情况，按要求每月上报进展情况，已累计上报6次；</w:t>
      </w:r>
      <w:r>
        <w:rPr>
          <w:rFonts w:ascii="仿宋_GB2312" w:hAnsi="仿宋_GB2312" w:eastAsia="仿宋_GB2312" w:cs="仿宋_GB2312"/>
          <w:b w:val="0"/>
          <w:bCs w:val="0"/>
          <w:sz w:val="32"/>
          <w:szCs w:val="32"/>
        </w:rPr>
        <w:t xml:space="preserve">二是</w:t>
      </w:r>
      <w:r>
        <w:rPr>
          <w:rFonts w:ascii="仿宋_GB2312" w:hAnsi="仿宋_GB2312" w:eastAsia="仿宋_GB2312" w:cs="仿宋_GB2312"/>
          <w:sz w:val="32"/>
          <w:szCs w:val="32"/>
        </w:rPr>
        <w:t xml:space="preserve">对2019年至2020年自然保护地</w:t>
      </w:r>
      <w:r>
        <w:rPr>
          <w:rFonts w:ascii="仿宋" w:hAnsi="仿宋" w:eastAsia="仿宋" w:cs="仿宋"/>
          <w:sz w:val="32"/>
          <w:szCs w:val="32"/>
        </w:rPr>
        <w:t xml:space="preserve">“</w:t>
      </w:r>
      <w:r>
        <w:rPr>
          <w:rFonts w:ascii="仿宋_GB2312" w:hAnsi="仿宋_GB2312" w:eastAsia="仿宋_GB2312" w:cs="仿宋_GB2312"/>
          <w:sz w:val="32"/>
          <w:szCs w:val="32"/>
        </w:rPr>
        <w:t xml:space="preserve">天空地一体化</w:t>
      </w:r>
      <w:r>
        <w:rPr>
          <w:rFonts w:ascii="仿宋" w:hAnsi="仿宋" w:eastAsia="仿宋" w:cs="仿宋"/>
          <w:sz w:val="32"/>
          <w:szCs w:val="32"/>
        </w:rPr>
        <w:t xml:space="preserve">”</w:t>
      </w:r>
      <w:r>
        <w:rPr>
          <w:rFonts w:ascii="仿宋_GB2312" w:hAnsi="仿宋_GB2312" w:eastAsia="仿宋_GB2312" w:cs="仿宋_GB2312"/>
          <w:sz w:val="32"/>
          <w:szCs w:val="32"/>
        </w:rPr>
        <w:t xml:space="preserve">地类变化监测专项核查中，保护区霞若片区的实验区点位为1个，经深入实地核实无需整改，相关痕迹佐证材料已上报迪庆州林业和草原局。</w:t>
      </w:r>
      <w:r>
        <w:rPr>
          <w:rFonts w:ascii="仿宋_GB2312" w:hAnsi="仿宋_GB2312" w:eastAsia="仿宋_GB2312" w:cs="仿宋_GB2312"/>
          <w:b w:val="0"/>
          <w:bCs w:val="0"/>
          <w:sz w:val="32"/>
          <w:szCs w:val="32"/>
        </w:rPr>
        <w:t xml:space="preserve">三是</w:t>
      </w:r>
      <w:r>
        <w:rPr>
          <w:rFonts w:ascii="仿宋_GB2312" w:hAnsi="仿宋_GB2312" w:eastAsia="仿宋_GB2312" w:cs="仿宋_GB2312"/>
          <w:sz w:val="32"/>
          <w:szCs w:val="32"/>
        </w:rPr>
        <w:t xml:space="preserve">对</w:t>
      </w:r>
      <w:r>
        <w:rPr>
          <w:rFonts w:ascii="仿宋" w:hAnsi="仿宋" w:eastAsia="仿宋" w:cs="仿宋"/>
          <w:sz w:val="32"/>
          <w:szCs w:val="32"/>
        </w:rPr>
        <w:t xml:space="preserve">“</w:t>
      </w:r>
      <w:r>
        <w:rPr>
          <w:rFonts w:ascii="仿宋_GB2312" w:hAnsi="仿宋_GB2312" w:eastAsia="仿宋_GB2312" w:cs="仿宋_GB2312"/>
          <w:sz w:val="32"/>
          <w:szCs w:val="32"/>
        </w:rPr>
        <w:t xml:space="preserve">中央第八生态环境保护督察组交办信访举报Y2YN202105060025问题</w:t>
      </w:r>
      <w:r>
        <w:rPr>
          <w:rFonts w:ascii="仿宋" w:hAnsi="仿宋" w:eastAsia="仿宋" w:cs="仿宋"/>
          <w:sz w:val="32"/>
          <w:szCs w:val="32"/>
        </w:rPr>
        <w:t xml:space="preserve">”</w:t>
      </w:r>
      <w:r>
        <w:rPr>
          <w:rFonts w:ascii="仿宋_GB2312" w:hAnsi="仿宋_GB2312" w:eastAsia="仿宋_GB2312" w:cs="仿宋_GB2312"/>
          <w:sz w:val="32"/>
          <w:szCs w:val="32"/>
        </w:rPr>
        <w:t xml:space="preserve">及时核查配合牵头部门，形成报告同其他台账一并上报各相关部门，案件已作出处理；</w:t>
      </w:r>
      <w:r>
        <w:rPr>
          <w:rFonts w:ascii="仿宋_GB2312" w:hAnsi="仿宋_GB2312" w:eastAsia="仿宋_GB2312" w:cs="仿宋_GB2312"/>
          <w:b w:val="0"/>
          <w:bCs w:val="0"/>
          <w:sz w:val="32"/>
          <w:szCs w:val="32"/>
        </w:rPr>
        <w:t xml:space="preserve">四是</w:t>
      </w:r>
      <w:r>
        <w:rPr>
          <w:rFonts w:ascii="仿宋_GB2312" w:hAnsi="仿宋_GB2312" w:eastAsia="仿宋_GB2312" w:cs="仿宋_GB2312"/>
          <w:sz w:val="32"/>
          <w:szCs w:val="32"/>
        </w:rPr>
        <w:t xml:space="preserve">已全面完成保护区内小水电站实地核查工作；</w:t>
      </w:r>
      <w:r>
        <w:rPr>
          <w:rFonts w:ascii="仿宋_GB2312" w:hAnsi="仿宋_GB2312" w:eastAsia="仿宋_GB2312" w:cs="仿宋_GB2312"/>
          <w:b w:val="0"/>
          <w:bCs w:val="0"/>
          <w:sz w:val="32"/>
          <w:szCs w:val="32"/>
        </w:rPr>
        <w:t xml:space="preserve">五是</w:t>
      </w:r>
      <w:r>
        <w:rPr>
          <w:rFonts w:ascii="仿宋_GB2312" w:hAnsi="仿宋_GB2312" w:eastAsia="仿宋_GB2312" w:cs="仿宋_GB2312"/>
          <w:sz w:val="32"/>
          <w:szCs w:val="32"/>
        </w:rPr>
        <w:t xml:space="preserve">对省生态环境厅及省林业和草原局下发的人类活动变化遥感监测点位22个点于2021年5月下旬进行实地核查，已形成核查报告上报州林草局。</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60" w:lineRule="atLeast"/>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（二）进一步加强项目建设与储备。</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60" w:lineRule="atLeast"/>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一是积极向省级部门争取视频监控建设项目、保护地优化整合勘界项目、保护区滇金丝猴种群动态专项监测巡护项目、珍稀濒危野生动植物保护补助项目等建设资金。</w:t>
      </w:r>
      <w:r>
        <w:rPr>
          <w:rFonts w:ascii="仿宋_GB2312" w:hAnsi="仿宋_GB2312" w:eastAsia="仿宋_GB2312" w:cs="仿宋_GB2312"/>
          <w:b w:val="0"/>
          <w:bCs w:val="0"/>
          <w:sz w:val="32"/>
          <w:szCs w:val="32"/>
        </w:rPr>
        <w:t xml:space="preserve">二是</w:t>
      </w:r>
      <w:r>
        <w:rPr>
          <w:rFonts w:ascii="仿宋_GB2312" w:hAnsi="仿宋_GB2312" w:eastAsia="仿宋_GB2312" w:cs="仿宋_GB2312"/>
          <w:sz w:val="32"/>
          <w:szCs w:val="32"/>
        </w:rPr>
        <w:t xml:space="preserve">积极向州级部门争取白马雪山建设项目、曲宗贡生态定位监测站防火通道建设项目、社区共管建设项目、资源保护管理项目等建设资金。</w:t>
      </w:r>
      <w:r>
        <w:rPr>
          <w:rFonts w:ascii="仿宋_GB2312" w:hAnsi="仿宋_GB2312" w:eastAsia="仿宋_GB2312" w:cs="仿宋_GB2312"/>
          <w:b w:val="0"/>
          <w:bCs w:val="0"/>
          <w:sz w:val="32"/>
          <w:szCs w:val="32"/>
        </w:rPr>
        <w:t xml:space="preserve">三是</w:t>
      </w:r>
      <w:r>
        <w:rPr>
          <w:rFonts w:ascii="仿宋_GB2312" w:hAnsi="仿宋_GB2312" w:eastAsia="仿宋_GB2312" w:cs="仿宋_GB2312"/>
          <w:sz w:val="32"/>
          <w:szCs w:val="32"/>
        </w:rPr>
        <w:t xml:space="preserve">积极向上级各部门争取保护区视频监测、保护区重要生态廊道建设示范工程、生物多样性监测、资源保护管理、科普宣教等项目的入库工作。2021年全年争取省级到位资金1850万元；争取州级到位资金390万元；争取对外合作项目到位资金1019.04万元。在项目储备上，争取省级项目入库项资金1.26亿元。结合省委省政府迪庆现场办公会谋划筹备项目资金4.49亿元。</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Style w:val="625"/>
          <w:rFonts w:ascii="仿宋_GB2312" w:hAnsi="仿宋_GB2312" w:eastAsia="仿宋_GB2312" w:cs="仿宋_GB2312"/>
          <w:sz w:val="32"/>
          <w:szCs w:val="32"/>
        </w:rPr>
        <w:t xml:space="preserve">（三）</w:t>
      </w:r>
      <w:r>
        <w:rPr>
          <w:rFonts w:ascii="仿宋_GB2312" w:hAnsi="仿宋_GB2312" w:eastAsia="仿宋_GB2312" w:cs="仿宋_GB2312"/>
          <w:sz w:val="32"/>
          <w:szCs w:val="32"/>
        </w:rPr>
        <w:t xml:space="preserve">以构建科学研究平台为突破口，深化科学研究的支撑作用。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通过项目合作、考察学习等方式，与云南大学生态与环境学院、西双版纳植物园合作建立</w:t>
      </w:r>
      <w:r>
        <w:rPr>
          <w:rFonts w:ascii="仿宋" w:hAnsi="仿宋" w:eastAsia="仿宋" w:cs="仿宋"/>
          <w:sz w:val="32"/>
          <w:szCs w:val="32"/>
        </w:rPr>
        <w:t xml:space="preserve">“</w:t>
      </w:r>
      <w:r>
        <w:rPr>
          <w:rFonts w:ascii="仿宋_GB2312" w:hAnsi="仿宋_GB2312" w:eastAsia="仿宋_GB2312" w:cs="仿宋_GB2312"/>
          <w:sz w:val="32"/>
          <w:szCs w:val="32"/>
        </w:rPr>
        <w:t xml:space="preserve">白马雪山生态系统定位观测研究站</w:t>
      </w:r>
      <w:r>
        <w:rPr>
          <w:rFonts w:ascii="仿宋" w:hAnsi="仿宋" w:eastAsia="仿宋" w:cs="仿宋"/>
          <w:sz w:val="32"/>
          <w:szCs w:val="32"/>
        </w:rPr>
        <w:t xml:space="preserve">”</w:t>
      </w:r>
      <w:r>
        <w:rPr>
          <w:rFonts w:ascii="仿宋_GB2312" w:hAnsi="仿宋_GB2312" w:eastAsia="仿宋_GB2312" w:cs="仿宋_GB2312"/>
          <w:sz w:val="32"/>
          <w:szCs w:val="32"/>
        </w:rPr>
        <w:t xml:space="preserve">，完成了7个一公顷样地首次普查；继续与昆明食用菌研究所合作《野生食用菌原生境保育扩繁技术创新应用及产源控制》课题，完成年度内数据收集和材料撰写；与中国林业科学研究院高原林业研究所签订了共建</w:t>
      </w:r>
      <w:r>
        <w:rPr>
          <w:rFonts w:ascii="仿宋" w:hAnsi="仿宋" w:eastAsia="仿宋" w:cs="仿宋"/>
          <w:sz w:val="32"/>
          <w:szCs w:val="32"/>
        </w:rPr>
        <w:t xml:space="preserve">“</w:t>
      </w:r>
      <w:r>
        <w:rPr>
          <w:rFonts w:ascii="仿宋_GB2312" w:hAnsi="仿宋_GB2312" w:eastAsia="仿宋_GB2312" w:cs="仿宋_GB2312"/>
          <w:sz w:val="32"/>
          <w:szCs w:val="32"/>
        </w:rPr>
        <w:t xml:space="preserve">典型森林动态监测样地</w:t>
      </w:r>
      <w:r>
        <w:rPr>
          <w:rFonts w:ascii="仿宋" w:hAnsi="仿宋" w:eastAsia="仿宋" w:cs="仿宋"/>
          <w:sz w:val="32"/>
          <w:szCs w:val="32"/>
        </w:rPr>
        <w:t xml:space="preserve">”</w:t>
      </w:r>
      <w:r>
        <w:rPr>
          <w:rFonts w:ascii="仿宋_GB2312" w:hAnsi="仿宋_GB2312" w:eastAsia="仿宋_GB2312" w:cs="仿宋_GB2312"/>
          <w:sz w:val="32"/>
          <w:szCs w:val="32"/>
        </w:rPr>
        <w:t xml:space="preserve">合作协议，完成6个一公顷样地建设和基础数据普查；与北京大学生态研究中心合作开展</w:t>
      </w:r>
      <w:r>
        <w:rPr>
          <w:rFonts w:ascii="仿宋" w:hAnsi="仿宋" w:eastAsia="仿宋" w:cs="仿宋"/>
          <w:sz w:val="32"/>
          <w:szCs w:val="32"/>
        </w:rPr>
        <w:t xml:space="preserve">“</w:t>
      </w:r>
      <w:r>
        <w:rPr>
          <w:rFonts w:ascii="仿宋_GB2312" w:hAnsi="仿宋_GB2312" w:eastAsia="仿宋_GB2312" w:cs="仿宋_GB2312"/>
          <w:sz w:val="32"/>
          <w:szCs w:val="32"/>
        </w:rPr>
        <w:t xml:space="preserve">土壤动物群落结构和生态功能沿高山气候带的演变规律及调控机制</w:t>
      </w:r>
      <w:r>
        <w:rPr>
          <w:rFonts w:ascii="仿宋" w:hAnsi="仿宋" w:eastAsia="仿宋" w:cs="仿宋"/>
          <w:sz w:val="32"/>
          <w:szCs w:val="32"/>
        </w:rPr>
        <w:t xml:space="preserve">”</w:t>
      </w:r>
      <w:r>
        <w:rPr>
          <w:rFonts w:ascii="仿宋_GB2312" w:hAnsi="仿宋_GB2312" w:eastAsia="仿宋_GB2312" w:cs="仿宋_GB2312"/>
          <w:sz w:val="32"/>
          <w:szCs w:val="32"/>
        </w:rPr>
        <w:t xml:space="preserve">项目；与中国科学院植物研究</w:t>
      </w:r>
      <w:r>
        <w:rPr>
          <w:rFonts w:ascii="仿宋_GB2312" w:hAnsi="仿宋_GB2312" w:eastAsia="仿宋_GB2312" w:cs="仿宋_GB2312"/>
          <w:color w:val="000000"/>
          <w:sz w:val="32"/>
          <w:szCs w:val="32"/>
          <w:u w:val="none"/>
        </w:rPr>
        <w:t xml:space="preserve">所合作开展</w:t>
      </w:r>
      <w:r>
        <w:rPr>
          <w:rFonts w:ascii="仿宋" w:hAnsi="仿宋" w:eastAsia="仿宋" w:cs="仿宋"/>
          <w:color w:val="000000"/>
          <w:sz w:val="32"/>
          <w:szCs w:val="32"/>
          <w:u w:val="none"/>
        </w:rPr>
        <w:t xml:space="preserve">“</w:t>
      </w:r>
      <w:r>
        <w:rPr>
          <w:rFonts w:ascii="仿宋_GB2312" w:hAnsi="仿宋_GB2312" w:eastAsia="仿宋_GB2312" w:cs="仿宋_GB2312"/>
          <w:color w:val="000000"/>
          <w:sz w:val="32"/>
          <w:szCs w:val="32"/>
          <w:u w:val="none"/>
        </w:rPr>
        <w:t xml:space="preserve">不同菌根类型植物养分获取策略沿高山气候带的演变规律及调控机制研究</w:t>
      </w:r>
      <w:r>
        <w:rPr>
          <w:rFonts w:ascii="仿宋" w:hAnsi="仿宋" w:eastAsia="仿宋" w:cs="仿宋"/>
          <w:color w:val="000000"/>
          <w:sz w:val="32"/>
          <w:szCs w:val="32"/>
          <w:u w:val="none"/>
        </w:rPr>
        <w:t xml:space="preserve">”</w:t>
      </w:r>
      <w:r>
        <w:rPr>
          <w:rFonts w:ascii="仿宋_GB2312" w:hAnsi="仿宋_GB2312" w:eastAsia="仿宋_GB2312" w:cs="仿宋_GB2312"/>
          <w:color w:val="000000"/>
          <w:sz w:val="32"/>
          <w:szCs w:val="32"/>
          <w:u w:val="none"/>
        </w:rPr>
        <w:t xml:space="preserve">项目。《</w:t>
      </w:r>
      <w:r>
        <w:rPr>
          <w:rFonts w:ascii="仿宋_GB2312" w:hAnsi="仿宋_GB2312" w:eastAsia="仿宋_GB2312" w:cs="仿宋_GB2312"/>
          <w:color w:val="000000"/>
          <w:sz w:val="32"/>
          <w:szCs w:val="32"/>
          <w:u w:val="none"/>
        </w:rPr>
        <w:fldChar w:fldCharType="begin"/>
      </w:r>
      <w:r>
        <w:rPr>
          <w:rFonts w:ascii="仿宋_GB2312" w:hAnsi="仿宋_GB2312" w:eastAsia="仿宋_GB2312" w:cs="仿宋_GB2312"/>
          <w:color w:val="000000"/>
          <w:sz w:val="32"/>
          <w:szCs w:val="32"/>
          <w:u w:val="none"/>
        </w:rPr>
        <w:instrText xml:space="preserve"> HYPERLINK "https://baike.baidu.com/item/%E7%94%9F%E7%89%A9%E5%A4%9A%E6%A0%B7%E6%80%A7%E5%85%AC%E7%BA%A6/1529928" </w:instrText>
      </w:r>
      <w:r>
        <w:rPr>
          <w:rFonts w:ascii="仿宋_GB2312" w:hAnsi="仿宋_GB2312" w:eastAsia="仿宋_GB2312" w:cs="仿宋_GB2312"/>
          <w:color w:val="000000"/>
          <w:sz w:val="32"/>
          <w:szCs w:val="32"/>
          <w:u w:val="none"/>
        </w:rPr>
        <w:fldChar w:fldCharType="separate"/>
      </w:r>
      <w:r>
        <w:rPr>
          <w:rStyle w:val="626"/>
          <w:rFonts w:ascii="仿宋_GB2312" w:hAnsi="仿宋_GB2312" w:eastAsia="仿宋_GB2312" w:cs="仿宋_GB2312"/>
          <w:color w:val="000000"/>
          <w:sz w:val="32"/>
          <w:szCs w:val="32"/>
          <w:u w:val="none"/>
        </w:rPr>
        <w:t xml:space="preserve">生物多样性公约</w:t>
      </w:r>
      <w:r>
        <w:rPr>
          <w:rStyle w:val="626"/>
          <w:rFonts w:ascii="仿宋_GB2312" w:hAnsi="仿宋_GB2312" w:eastAsia="仿宋_GB2312" w:cs="仿宋_GB2312"/>
          <w:color w:val="000000"/>
          <w:sz w:val="32"/>
          <w:szCs w:val="32"/>
          <w:u w:val="none"/>
        </w:rPr>
        <w:fldChar w:fldCharType="end"/>
      </w:r>
      <w:r>
        <w:rPr>
          <w:rFonts w:ascii="仿宋_GB2312" w:hAnsi="仿宋_GB2312" w:eastAsia="仿宋_GB2312" w:cs="仿宋_GB2312"/>
          <w:color w:val="000000"/>
          <w:sz w:val="32"/>
          <w:szCs w:val="32"/>
          <w:u w:val="none"/>
        </w:rPr>
        <w:t xml:space="preserve">》缔约方大会第十五次会议期间，云南省集中发布了20项野生动物地方标准，其中我局起草并由云南省</w:t>
      </w:r>
      <w:r>
        <w:rPr>
          <w:rFonts w:ascii="仿宋_GB2312" w:hAnsi="仿宋_GB2312" w:eastAsia="仿宋_GB2312" w:cs="仿宋_GB2312"/>
          <w:sz w:val="32"/>
          <w:szCs w:val="32"/>
        </w:rPr>
        <w:t xml:space="preserve">政府正式发布《滇金丝猴种群监测技术规程》及《滇金丝猴救护及放归技术规程》两个省级地方标准，白马雪山保护区是全省唯一地州起草单位，为填补我省野生动物保护标准空白贡献了智慧和经验。年内与昆明动物园、西北农林科技大学、西双版纳植物园签订合作协议书，7家科研团队、98人次到保护区开展科研活动15次。</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（四）积极开展补充勘界工作。</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根据云南省林业和草原局印发的相关文件精神，在前期保护区自主勘界的基础上，结合后期发布的相关规范及省级勘界专家咨询会要求，聘请了具有资质的第三方开展了补充勘界工作，目前已完成所有野外作业任务，并组织召开了两县勘界成果咨询会以及州级专家评审会，勘界成果已提交云南省林业和草原局，待省级专家评审。</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（五）创新科普宣传教育与工作。</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一方面结合生物多样性大会在昆明召开的契机</w:t>
      </w:r>
      <w:r>
        <w:rPr>
          <w:rFonts w:ascii="仿宋_GB2312" w:hAnsi="仿宋_GB2312" w:eastAsia="仿宋_GB2312" w:cs="仿宋_GB2312"/>
          <w:sz w:val="32"/>
          <w:szCs w:val="32"/>
        </w:rPr>
        <w:t xml:space="preserve">，通过与中央电视台等媒体合作全方位的宣传了白马雪山生物多样性的保护成效，全年对接媒体28家，推送人民网、新华社、央视各频道、学习强国等中央主流媒体宣传报道64次，省级平台宣传25次。配合开展了1次央视新闻频道直播，影音作品《雪山萌猴》获COP15短视频最佳人气奖。另一方面，持续开展常态化工作，并积极拓宽宣传面，输出正能量保护成效，以宣传促保护，以保护区塔城响古箐、曲宗贡为窗口，创新科普宣教模式，提升宣教品质，助力香格里拉品牌建设。深入保护区周边社区、单位、学校，开展丰富多彩的宣教活动。多方位开展宣传工作，在</w:t>
      </w:r>
      <w:r>
        <w:rPr>
          <w:rFonts w:ascii="仿宋" w:hAnsi="仿宋" w:eastAsia="仿宋" w:cs="仿宋"/>
          <w:sz w:val="32"/>
          <w:szCs w:val="32"/>
        </w:rPr>
        <w:t xml:space="preserve">“</w:t>
      </w:r>
      <w:r>
        <w:rPr>
          <w:rFonts w:ascii="仿宋_GB2312" w:hAnsi="仿宋_GB2312" w:eastAsia="仿宋_GB2312" w:cs="仿宋_GB2312"/>
          <w:sz w:val="32"/>
          <w:szCs w:val="32"/>
        </w:rPr>
        <w:t xml:space="preserve">世界野生动物日</w:t>
      </w:r>
      <w:r>
        <w:rPr>
          <w:rFonts w:ascii="仿宋" w:hAnsi="仿宋" w:eastAsia="仿宋" w:cs="仿宋"/>
          <w:sz w:val="32"/>
          <w:szCs w:val="32"/>
        </w:rPr>
        <w:t xml:space="preserve">”“</w:t>
      </w:r>
      <w:r>
        <w:rPr>
          <w:rFonts w:ascii="仿宋_GB2312" w:hAnsi="仿宋_GB2312" w:eastAsia="仿宋_GB2312" w:cs="仿宋_GB2312"/>
          <w:sz w:val="32"/>
          <w:szCs w:val="32"/>
        </w:rPr>
        <w:t xml:space="preserve">爱鸟周</w:t>
      </w:r>
      <w:r>
        <w:rPr>
          <w:rFonts w:ascii="仿宋" w:hAnsi="仿宋" w:eastAsia="仿宋" w:cs="仿宋"/>
          <w:sz w:val="32"/>
          <w:szCs w:val="32"/>
        </w:rPr>
        <w:t xml:space="preserve">”“</w:t>
      </w:r>
      <w:r>
        <w:rPr>
          <w:rFonts w:ascii="仿宋_GB2312" w:hAnsi="仿宋_GB2312" w:eastAsia="仿宋_GB2312" w:cs="仿宋_GB2312"/>
          <w:sz w:val="32"/>
          <w:szCs w:val="32"/>
        </w:rPr>
        <w:t xml:space="preserve">国际生物多样性日</w:t>
      </w:r>
      <w:r>
        <w:rPr>
          <w:rFonts w:ascii="仿宋" w:hAnsi="仿宋" w:eastAsia="仿宋" w:cs="仿宋"/>
          <w:sz w:val="32"/>
          <w:szCs w:val="32"/>
        </w:rPr>
        <w:t xml:space="preserve">”“</w:t>
      </w:r>
      <w:r>
        <w:rPr>
          <w:rFonts w:ascii="仿宋_GB2312" w:hAnsi="仿宋_GB2312" w:eastAsia="仿宋_GB2312" w:cs="仿宋_GB2312"/>
          <w:sz w:val="32"/>
          <w:szCs w:val="32"/>
        </w:rPr>
        <w:t xml:space="preserve">世界地球日</w:t>
      </w:r>
      <w:r>
        <w:rPr>
          <w:rFonts w:ascii="仿宋" w:hAnsi="仿宋" w:eastAsia="仿宋" w:cs="仿宋"/>
          <w:sz w:val="32"/>
          <w:szCs w:val="32"/>
        </w:rPr>
        <w:t xml:space="preserve">”</w:t>
      </w:r>
      <w:r>
        <w:rPr>
          <w:rFonts w:ascii="仿宋_GB2312" w:hAnsi="仿宋_GB2312" w:eastAsia="仿宋_GB2312" w:cs="仿宋_GB2312"/>
          <w:sz w:val="32"/>
          <w:szCs w:val="32"/>
        </w:rPr>
        <w:t xml:space="preserve">等重要节点开展宣传活动共计10期，组织保护区内科普宣教培训4次，组织科普宣教活动5期。全年白马雪山自然保护区微信公众平台共推送254条信息、滇金丝猴微信公众平台共推送68条信息，及时做好重要节点和敏感时期的舆论监管，向宣传部、网信办、组织部、州委信息室、州政府信息科等部门报送舆情信息58条，并配合完成舆情处置任务上百条。</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（六）多措并举，深化社区共管，助力乡村振兴工作。</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Style w:val="625"/>
          <w:rFonts w:ascii="仿宋_GB2312" w:hAnsi="仿宋_GB2312" w:eastAsia="仿宋_GB2312" w:cs="仿宋_GB2312"/>
          <w:sz w:val="32"/>
          <w:szCs w:val="32"/>
        </w:rPr>
        <w:t xml:space="preserve">在社区工作上，努力与国内民间组织阿拉善、</w:t>
      </w:r>
      <w:r>
        <w:rPr>
          <w:rFonts w:ascii="仿宋_GB2312" w:hAnsi="仿宋_GB2312" w:eastAsia="仿宋_GB2312" w:cs="仿宋_GB2312"/>
          <w:sz w:val="32"/>
          <w:szCs w:val="32"/>
        </w:rPr>
        <w:t xml:space="preserve">中华环保基金、云南省绿色环境发展基金会等合作，开展了社区发展综合示范、社区共管创新示范、生物多样性保护及环保宣教等项目，努力构建人与</w:t>
      </w:r>
      <w:r>
        <w:rPr>
          <w:rFonts w:ascii="仿宋_GB2312" w:hAnsi="仿宋_GB2312" w:eastAsia="仿宋_GB2312" w:cs="仿宋_GB2312"/>
          <w:sz w:val="32"/>
          <w:szCs w:val="32"/>
        </w:rPr>
        <w:t xml:space="preserve">自然和谐共生的保护区。保护区继续加大对挂包扶贫点的帮扶力度，加大对扶贫点项目资金的投入，继续发挥资源优势，探索多元化社区共管路子，结合社区共管项目，从解决保护区群众切身利益出发，在挂钩点实施能源替代项目、特色养殖产业、中药材种植、环境卫生整治等项目，教育引导老百姓投身环境保护，分享保护区建设的红利，助力乡村振兴，激发群众参与性，同时也为维护民族团结、社会稳定提供了有力保障，进一步实现生态社会经济效益共赢。如：在德钦、维西片区实施牧场管理、林下资源可持续利用和粗卡通社区共管创新示范项目等，共计投资100万元。</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（七）认真做好保护区游憩工作。</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在游憩工作上，一是开展保护区生态旅游活动调研，完成保护区塔城辖区生态旅游资源和自然教育路线实地调研工作，</w:t>
      </w:r>
      <w:r>
        <w:rPr>
          <w:rFonts w:ascii="仿宋_GB2312" w:hAnsi="仿宋_GB2312" w:eastAsia="仿宋_GB2312" w:cs="仿宋_GB2312"/>
          <w:sz w:val="32"/>
          <w:szCs w:val="32"/>
        </w:rPr>
        <w:t xml:space="preserve">二是谋划涵盖自然教育、科普教育、科学考察、生态旅游为一体的白马雪山国家步道建设项目，为拓展我州全域旅游空间打下基础。年内对保护区塔城滇金丝猴国家公园辖区和北部曲宗贡至红坡共2条大线路进行了实地调研和踏查，了解线路、资源状况和生态旅游价值意义，就自然教育线路、主题活动开发设想、宣传教育内容、资源安全、环境承载量等相关问题进行了座谈和讨论；组织白马雪山保护区2021年生态旅游管理培训1期、社区生态旅游技能培训1期及滇金丝猴科普生态旅游研学活动1期；完成保护区滇金丝猴展示区生态旅游现状及管理研究项目田野调查工作。</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（八）全面推进深化改革工作，深入贯彻习近平生态文明思想，全力推进自然保护地整合优化、生态旅游等工作。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建立以国家公园为主体的自然保护地体系，是贯彻习近平生态文明思想的重大举措，是党的十九大提出的重大改革任务。</w:t>
      </w:r>
      <w:r>
        <w:rPr>
          <w:rFonts w:ascii="仿宋_GB2312" w:hAnsi="仿宋_GB2312" w:eastAsia="仿宋_GB2312" w:cs="仿宋_GB2312"/>
          <w:b w:val="0"/>
          <w:bCs w:val="0"/>
          <w:sz w:val="32"/>
          <w:szCs w:val="32"/>
        </w:rPr>
        <w:t xml:space="preserve">一是</w:t>
      </w:r>
      <w:r>
        <w:rPr>
          <w:rFonts w:ascii="仿宋_GB2312" w:hAnsi="仿宋_GB2312" w:eastAsia="仿宋_GB2312" w:cs="仿宋_GB2312"/>
          <w:sz w:val="32"/>
          <w:szCs w:val="32"/>
        </w:rPr>
        <w:t xml:space="preserve">我局积极配合参与州林草局开展迪庆州保护区优化整合工作，安排精干专业人员。目前，迪庆州保护区优化整合方案通过州级审核，由州林草局上报省林业和草原局，已完成初审，按照反馈意见修改上报省林业和草原局，等待审核。</w:t>
      </w:r>
      <w:r>
        <w:rPr>
          <w:rFonts w:ascii="仿宋_GB2312" w:hAnsi="仿宋_GB2312" w:eastAsia="仿宋_GB2312" w:cs="仿宋_GB2312"/>
          <w:b w:val="0"/>
          <w:bCs w:val="0"/>
          <w:sz w:val="32"/>
          <w:szCs w:val="32"/>
        </w:rPr>
        <w:t xml:space="preserve">二是</w:t>
      </w:r>
      <w:r>
        <w:rPr>
          <w:rFonts w:ascii="仿宋_GB2312" w:hAnsi="仿宋_GB2312" w:eastAsia="仿宋_GB2312" w:cs="仿宋_GB2312"/>
          <w:sz w:val="32"/>
          <w:szCs w:val="32"/>
        </w:rPr>
        <w:t xml:space="preserve">及时成立</w:t>
      </w:r>
      <w:r>
        <w:rPr>
          <w:rFonts w:ascii="仿宋" w:hAnsi="仿宋" w:eastAsia="仿宋" w:cs="仿宋"/>
          <w:sz w:val="32"/>
          <w:szCs w:val="32"/>
        </w:rPr>
        <w:t xml:space="preserve">“</w:t>
      </w:r>
      <w:r>
        <w:rPr>
          <w:rFonts w:ascii="仿宋_GB2312" w:hAnsi="仿宋_GB2312" w:eastAsia="仿宋_GB2312" w:cs="仿宋_GB2312"/>
          <w:sz w:val="32"/>
          <w:szCs w:val="32"/>
        </w:rPr>
        <w:t xml:space="preserve">白马雪山保护区建立以国家公园为主体的自然保护地体系建设调研课题小组</w:t>
      </w:r>
      <w:r>
        <w:rPr>
          <w:rFonts w:ascii="仿宋" w:hAnsi="仿宋" w:eastAsia="仿宋" w:cs="仿宋"/>
          <w:sz w:val="32"/>
          <w:szCs w:val="32"/>
        </w:rPr>
        <w:t xml:space="preserve">”</w:t>
      </w:r>
      <w:r>
        <w:rPr>
          <w:rFonts w:ascii="仿宋_GB2312" w:hAnsi="仿宋_GB2312" w:eastAsia="仿宋_GB2312" w:cs="仿宋_GB2312"/>
          <w:sz w:val="32"/>
          <w:szCs w:val="32"/>
        </w:rPr>
        <w:t xml:space="preserve">，明确工作任务、提出工作进度和工作目标，做到科学安排，有序推进，完成《白马雪山国家级自然保护区建立以国家公园为主体的自然保护地体系建设调研报告》，并上报州委深改办。</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（九）全力推进党史学习教育深入开展。</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坚持以</w:t>
      </w:r>
      <w:r>
        <w:rPr>
          <w:rFonts w:hint="eastAsia" w:ascii="仿宋_GB2312" w:hAnsi="仿宋_GB2312" w:eastAsia="仿宋_GB2312" w:cs="仿宋_GB2312"/>
          <w:sz w:val="32"/>
          <w:szCs w:val="32"/>
          <w:lang w:eastAsia="zh-CN"/>
        </w:rPr>
        <w:t xml:space="preserve">习近平新时代中国特色社会主义思想</w:t>
      </w:r>
      <w:r>
        <w:rPr>
          <w:rFonts w:ascii="仿宋_GB2312" w:hAnsi="仿宋_GB2312" w:eastAsia="仿宋_GB2312" w:cs="仿宋_GB2312"/>
          <w:sz w:val="32"/>
          <w:szCs w:val="32"/>
        </w:rPr>
        <w:t xml:space="preserve">为指导，把开展好</w:t>
      </w:r>
      <w:r>
        <w:rPr>
          <w:rFonts w:ascii="仿宋" w:hAnsi="仿宋" w:eastAsia="仿宋" w:cs="仿宋"/>
          <w:sz w:val="32"/>
          <w:szCs w:val="32"/>
        </w:rPr>
        <w:t xml:space="preserve">“</w:t>
      </w:r>
      <w:r>
        <w:rPr>
          <w:rFonts w:ascii="仿宋_GB2312" w:hAnsi="仿宋_GB2312" w:eastAsia="仿宋_GB2312" w:cs="仿宋_GB2312"/>
          <w:sz w:val="32"/>
          <w:szCs w:val="32"/>
        </w:rPr>
        <w:t xml:space="preserve">党史、新中国史、改革开放史、社会主义发展史</w:t>
      </w:r>
      <w:r>
        <w:rPr>
          <w:rFonts w:ascii="仿宋" w:hAnsi="仿宋" w:eastAsia="仿宋" w:cs="仿宋"/>
          <w:sz w:val="32"/>
          <w:szCs w:val="32"/>
        </w:rPr>
        <w:t xml:space="preserve">”</w:t>
      </w:r>
      <w:r>
        <w:rPr>
          <w:rFonts w:ascii="仿宋_GB2312" w:hAnsi="仿宋_GB2312" w:eastAsia="仿宋_GB2312" w:cs="仿宋_GB2312"/>
          <w:sz w:val="32"/>
          <w:szCs w:val="32"/>
        </w:rPr>
        <w:t xml:space="preserve">学习教育作为重要政治任务，紧密结合实际，加强顶层设计，制定下发《云南白马雪山国家级自然保护区管护局党史学习教育实施工作方案》，确保党史学习教育往深里走、往心里走、往实里走。</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在</w:t>
      </w:r>
      <w:r>
        <w:rPr>
          <w:rFonts w:ascii="仿宋" w:hAnsi="仿宋" w:eastAsia="仿宋" w:cs="仿宋"/>
          <w:sz w:val="32"/>
          <w:szCs w:val="32"/>
        </w:rPr>
        <w:t xml:space="preserve">“</w:t>
      </w:r>
      <w:r>
        <w:rPr>
          <w:rFonts w:ascii="仿宋_GB2312" w:hAnsi="仿宋_GB2312" w:eastAsia="仿宋_GB2312" w:cs="仿宋_GB2312"/>
          <w:sz w:val="32"/>
          <w:szCs w:val="32"/>
        </w:rPr>
        <w:t xml:space="preserve">学</w:t>
      </w:r>
      <w:r>
        <w:rPr>
          <w:rFonts w:ascii="仿宋" w:hAnsi="仿宋" w:eastAsia="仿宋" w:cs="仿宋"/>
          <w:sz w:val="32"/>
          <w:szCs w:val="32"/>
        </w:rPr>
        <w:t xml:space="preserve">”</w:t>
      </w:r>
      <w:r>
        <w:rPr>
          <w:rFonts w:ascii="仿宋_GB2312" w:hAnsi="仿宋_GB2312" w:eastAsia="仿宋_GB2312" w:cs="仿宋_GB2312"/>
          <w:sz w:val="32"/>
          <w:szCs w:val="32"/>
        </w:rPr>
        <w:t xml:space="preserve">上下功夫，学深悟透汲取精神力量。领导带头作表率。把</w:t>
      </w:r>
      <w:r>
        <w:rPr>
          <w:rFonts w:ascii="仿宋" w:hAnsi="仿宋" w:eastAsia="仿宋" w:cs="仿宋"/>
          <w:sz w:val="32"/>
          <w:szCs w:val="32"/>
        </w:rPr>
        <w:t xml:space="preserve">“</w:t>
      </w:r>
      <w:r>
        <w:rPr>
          <w:rFonts w:ascii="仿宋_GB2312" w:hAnsi="仿宋_GB2312" w:eastAsia="仿宋_GB2312" w:cs="仿宋_GB2312"/>
          <w:sz w:val="32"/>
          <w:szCs w:val="32"/>
        </w:rPr>
        <w:t xml:space="preserve">党史</w:t>
      </w:r>
      <w:r>
        <w:rPr>
          <w:rFonts w:ascii="仿宋" w:hAnsi="仿宋" w:eastAsia="仿宋" w:cs="仿宋"/>
          <w:sz w:val="32"/>
          <w:szCs w:val="32"/>
        </w:rPr>
        <w:t xml:space="preserve">”</w:t>
      </w:r>
      <w:r>
        <w:rPr>
          <w:rFonts w:ascii="仿宋_GB2312" w:hAnsi="仿宋_GB2312" w:eastAsia="仿宋_GB2312" w:cs="仿宋_GB2312"/>
          <w:sz w:val="32"/>
          <w:szCs w:val="32"/>
        </w:rPr>
        <w:t xml:space="preserve">作为党组中心组学习的重要内容，按照</w:t>
      </w:r>
      <w:r>
        <w:rPr>
          <w:rFonts w:ascii="仿宋" w:hAnsi="仿宋" w:eastAsia="仿宋" w:cs="仿宋"/>
          <w:sz w:val="32"/>
          <w:szCs w:val="32"/>
        </w:rPr>
        <w:t xml:space="preserve">“</w:t>
      </w:r>
      <w:r>
        <w:rPr>
          <w:rFonts w:ascii="仿宋_GB2312" w:hAnsi="仿宋_GB2312" w:eastAsia="仿宋_GB2312" w:cs="仿宋_GB2312"/>
          <w:sz w:val="32"/>
          <w:szCs w:val="32"/>
        </w:rPr>
        <w:t xml:space="preserve">一史一史学</w:t>
      </w:r>
      <w:r>
        <w:rPr>
          <w:rFonts w:ascii="仿宋" w:hAnsi="仿宋" w:eastAsia="仿宋" w:cs="仿宋"/>
          <w:sz w:val="32"/>
          <w:szCs w:val="32"/>
        </w:rPr>
        <w:t xml:space="preserve">”</w:t>
      </w:r>
      <w:r>
        <w:rPr>
          <w:rFonts w:ascii="仿宋_GB2312" w:hAnsi="仿宋_GB2312" w:eastAsia="仿宋_GB2312" w:cs="仿宋_GB2312"/>
          <w:sz w:val="32"/>
          <w:szCs w:val="32"/>
        </w:rPr>
        <w:t xml:space="preserve">的要求，通过听取专题报告、瞻仰红色场馆、开展交流研讨等形式学好</w:t>
      </w:r>
      <w:r>
        <w:rPr>
          <w:rFonts w:ascii="仿宋" w:hAnsi="仿宋" w:eastAsia="仿宋" w:cs="仿宋"/>
          <w:sz w:val="32"/>
          <w:szCs w:val="32"/>
        </w:rPr>
        <w:t xml:space="preserve">“</w:t>
      </w:r>
      <w:r>
        <w:rPr>
          <w:rFonts w:ascii="仿宋_GB2312" w:hAnsi="仿宋_GB2312" w:eastAsia="仿宋_GB2312" w:cs="仿宋_GB2312"/>
          <w:sz w:val="32"/>
          <w:szCs w:val="32"/>
        </w:rPr>
        <w:t xml:space="preserve">党史</w:t>
      </w:r>
      <w:r>
        <w:rPr>
          <w:rFonts w:ascii="仿宋" w:hAnsi="仿宋" w:eastAsia="仿宋" w:cs="仿宋"/>
          <w:sz w:val="32"/>
          <w:szCs w:val="32"/>
        </w:rPr>
        <w:t xml:space="preserve">”</w:t>
      </w:r>
      <w:r>
        <w:rPr>
          <w:rFonts w:ascii="仿宋_GB2312" w:hAnsi="仿宋_GB2312" w:eastAsia="仿宋_GB2312" w:cs="仿宋_GB2312"/>
          <w:sz w:val="32"/>
          <w:szCs w:val="32"/>
        </w:rPr>
        <w:t xml:space="preserve">的</w:t>
      </w:r>
      <w:r>
        <w:rPr>
          <w:rFonts w:ascii="仿宋" w:hAnsi="仿宋" w:eastAsia="仿宋" w:cs="仿宋"/>
          <w:sz w:val="32"/>
          <w:szCs w:val="32"/>
        </w:rPr>
        <w:t xml:space="preserve">“</w:t>
      </w:r>
      <w:r>
        <w:rPr>
          <w:rFonts w:ascii="仿宋_GB2312" w:hAnsi="仿宋_GB2312" w:eastAsia="仿宋_GB2312" w:cs="仿宋_GB2312"/>
          <w:sz w:val="32"/>
          <w:szCs w:val="32"/>
        </w:rPr>
        <w:t xml:space="preserve">必读篇</w:t>
      </w:r>
      <w:r>
        <w:rPr>
          <w:rFonts w:ascii="仿宋" w:hAnsi="仿宋" w:eastAsia="仿宋" w:cs="仿宋"/>
          <w:sz w:val="32"/>
          <w:szCs w:val="32"/>
        </w:rPr>
        <w:t xml:space="preserve">”</w:t>
      </w:r>
      <w:r>
        <w:rPr>
          <w:rFonts w:ascii="仿宋_GB2312" w:hAnsi="仿宋_GB2312" w:eastAsia="仿宋_GB2312" w:cs="仿宋_GB2312"/>
          <w:sz w:val="32"/>
          <w:szCs w:val="32"/>
        </w:rPr>
        <w:t xml:space="preserve">。固化常态化学习机制，开展</w:t>
      </w:r>
      <w:r>
        <w:rPr>
          <w:rFonts w:ascii="仿宋" w:hAnsi="仿宋" w:eastAsia="仿宋" w:cs="仿宋"/>
          <w:sz w:val="32"/>
          <w:szCs w:val="32"/>
        </w:rPr>
        <w:t xml:space="preserve">“</w:t>
      </w:r>
      <w:r>
        <w:rPr>
          <w:rFonts w:ascii="仿宋_GB2312" w:hAnsi="仿宋_GB2312" w:eastAsia="仿宋_GB2312" w:cs="仿宋_GB2312"/>
          <w:sz w:val="32"/>
          <w:szCs w:val="32"/>
        </w:rPr>
        <w:t xml:space="preserve">周五领学</w:t>
      </w:r>
      <w:r>
        <w:rPr>
          <w:rFonts w:ascii="仿宋" w:hAnsi="仿宋" w:eastAsia="仿宋" w:cs="仿宋"/>
          <w:sz w:val="32"/>
          <w:szCs w:val="32"/>
        </w:rPr>
        <w:t xml:space="preserve">”</w:t>
      </w:r>
      <w:r>
        <w:rPr>
          <w:rFonts w:ascii="仿宋_GB2312" w:hAnsi="仿宋_GB2312" w:eastAsia="仿宋_GB2312" w:cs="仿宋_GB2312"/>
          <w:sz w:val="32"/>
          <w:szCs w:val="32"/>
        </w:rPr>
        <w:t xml:space="preserve">全局干部职工集中学习，学习</w:t>
      </w:r>
      <w:r>
        <w:rPr>
          <w:rFonts w:ascii="仿宋" w:hAnsi="仿宋" w:eastAsia="仿宋" w:cs="仿宋"/>
          <w:sz w:val="32"/>
          <w:szCs w:val="32"/>
        </w:rPr>
        <w:t xml:space="preserve">“</w:t>
      </w:r>
      <w:r>
        <w:rPr>
          <w:rFonts w:ascii="仿宋_GB2312" w:hAnsi="仿宋_GB2312" w:eastAsia="仿宋_GB2312" w:cs="仿宋_GB2312"/>
          <w:sz w:val="32"/>
          <w:szCs w:val="32"/>
        </w:rPr>
        <w:t xml:space="preserve">党史</w:t>
      </w:r>
      <w:r>
        <w:rPr>
          <w:rFonts w:ascii="仿宋" w:hAnsi="仿宋" w:eastAsia="仿宋" w:cs="仿宋"/>
          <w:sz w:val="32"/>
          <w:szCs w:val="32"/>
        </w:rPr>
        <w:t xml:space="preserve">”</w:t>
      </w:r>
      <w:r>
        <w:rPr>
          <w:rFonts w:ascii="仿宋_GB2312" w:hAnsi="仿宋_GB2312" w:eastAsia="仿宋_GB2312" w:cs="仿宋_GB2312"/>
          <w:sz w:val="32"/>
          <w:szCs w:val="32"/>
        </w:rPr>
        <w:t xml:space="preserve">理论知识；开展</w:t>
      </w:r>
      <w:r>
        <w:rPr>
          <w:rFonts w:ascii="仿宋" w:hAnsi="仿宋" w:eastAsia="仿宋" w:cs="仿宋"/>
          <w:sz w:val="32"/>
          <w:szCs w:val="32"/>
        </w:rPr>
        <w:t xml:space="preserve">“</w:t>
      </w:r>
      <w:r>
        <w:rPr>
          <w:rFonts w:ascii="仿宋_GB2312" w:hAnsi="仿宋_GB2312" w:eastAsia="仿宋_GB2312" w:cs="仿宋_GB2312"/>
          <w:sz w:val="32"/>
          <w:szCs w:val="32"/>
        </w:rPr>
        <w:t xml:space="preserve">每日一读</w:t>
      </w:r>
      <w:r>
        <w:rPr>
          <w:rFonts w:ascii="仿宋" w:hAnsi="仿宋" w:eastAsia="仿宋" w:cs="仿宋"/>
          <w:sz w:val="32"/>
          <w:szCs w:val="32"/>
        </w:rPr>
        <w:t xml:space="preserve">·</w:t>
      </w:r>
      <w:r>
        <w:rPr>
          <w:rFonts w:ascii="仿宋_GB2312" w:hAnsi="仿宋_GB2312" w:eastAsia="仿宋_GB2312" w:cs="仿宋_GB2312"/>
          <w:sz w:val="32"/>
          <w:szCs w:val="32"/>
        </w:rPr>
        <w:t xml:space="preserve">学习党史</w:t>
      </w:r>
      <w:r>
        <w:rPr>
          <w:rFonts w:ascii="仿宋" w:hAnsi="仿宋" w:eastAsia="仿宋" w:cs="仿宋"/>
          <w:sz w:val="32"/>
          <w:szCs w:val="32"/>
        </w:rPr>
        <w:t xml:space="preserve">”</w:t>
      </w:r>
      <w:r>
        <w:rPr>
          <w:rFonts w:ascii="仿宋_GB2312" w:hAnsi="仿宋_GB2312" w:eastAsia="仿宋_GB2312" w:cs="仿宋_GB2312"/>
          <w:sz w:val="32"/>
          <w:szCs w:val="32"/>
        </w:rPr>
        <w:t xml:space="preserve">活动，每天上午9点以前（节假日上午10点以前）在管护局微信群推送，内容以红色故事、百年党史、唱红歌等形式，实行打卡督学制，并将打卡情况作为年底</w:t>
      </w:r>
      <w:r>
        <w:rPr>
          <w:rFonts w:ascii="仿宋" w:hAnsi="仿宋" w:eastAsia="仿宋" w:cs="仿宋"/>
          <w:sz w:val="32"/>
          <w:szCs w:val="32"/>
        </w:rPr>
        <w:t xml:space="preserve">“</w:t>
      </w:r>
      <w:r>
        <w:rPr>
          <w:rFonts w:ascii="仿宋_GB2312" w:hAnsi="仿宋_GB2312" w:eastAsia="仿宋_GB2312" w:cs="仿宋_GB2312"/>
          <w:sz w:val="32"/>
          <w:szCs w:val="32"/>
        </w:rPr>
        <w:t xml:space="preserve">党性体检</w:t>
      </w:r>
      <w:r>
        <w:rPr>
          <w:rFonts w:ascii="仿宋" w:hAnsi="仿宋" w:eastAsia="仿宋" w:cs="仿宋"/>
          <w:sz w:val="32"/>
          <w:szCs w:val="32"/>
        </w:rPr>
        <w:t xml:space="preserve">”</w:t>
      </w:r>
      <w:r>
        <w:rPr>
          <w:rFonts w:ascii="仿宋_GB2312" w:hAnsi="仿宋_GB2312" w:eastAsia="仿宋_GB2312" w:cs="仿宋_GB2312"/>
          <w:sz w:val="32"/>
          <w:szCs w:val="32"/>
        </w:rPr>
        <w:t xml:space="preserve">、党员积分制的重要依据。广泛开展</w:t>
      </w:r>
      <w:r>
        <w:rPr>
          <w:rFonts w:ascii="仿宋" w:hAnsi="仿宋" w:eastAsia="仿宋" w:cs="仿宋"/>
          <w:sz w:val="32"/>
          <w:szCs w:val="32"/>
        </w:rPr>
        <w:t xml:space="preserve">“</w:t>
      </w:r>
      <w:r>
        <w:rPr>
          <w:rFonts w:ascii="仿宋_GB2312" w:hAnsi="仿宋_GB2312" w:eastAsia="仿宋_GB2312" w:cs="仿宋_GB2312"/>
          <w:sz w:val="32"/>
          <w:szCs w:val="32"/>
        </w:rPr>
        <w:t xml:space="preserve">迎七一、学党史、开新局</w:t>
      </w:r>
      <w:r>
        <w:rPr>
          <w:rFonts w:ascii="仿宋" w:hAnsi="仿宋" w:eastAsia="仿宋" w:cs="仿宋"/>
          <w:sz w:val="32"/>
          <w:szCs w:val="32"/>
        </w:rPr>
        <w:t xml:space="preserve">”</w:t>
      </w:r>
      <w:r>
        <w:rPr>
          <w:rFonts w:ascii="仿宋_GB2312" w:hAnsi="仿宋_GB2312" w:eastAsia="仿宋_GB2312" w:cs="仿宋_GB2312"/>
          <w:sz w:val="32"/>
          <w:szCs w:val="32"/>
        </w:rPr>
        <w:t xml:space="preserve">活动。邀请云岭大讲堂主讲嘉宾、州委党校副教授石海鹂副教授宣讲、领导干部上讲台讲党课等方式集中开展</w:t>
      </w:r>
      <w:r>
        <w:rPr>
          <w:rFonts w:ascii="仿宋" w:hAnsi="仿宋" w:eastAsia="仿宋" w:cs="仿宋"/>
          <w:sz w:val="32"/>
          <w:szCs w:val="32"/>
        </w:rPr>
        <w:t xml:space="preserve">“</w:t>
      </w:r>
      <w:r>
        <w:rPr>
          <w:rFonts w:ascii="仿宋_GB2312" w:hAnsi="仿宋_GB2312" w:eastAsia="仿宋_GB2312" w:cs="仿宋_GB2312"/>
          <w:sz w:val="32"/>
          <w:szCs w:val="32"/>
        </w:rPr>
        <w:t xml:space="preserve">四史</w:t>
      </w:r>
      <w:r>
        <w:rPr>
          <w:rFonts w:ascii="仿宋" w:hAnsi="仿宋" w:eastAsia="仿宋" w:cs="仿宋"/>
          <w:sz w:val="32"/>
          <w:szCs w:val="32"/>
        </w:rPr>
        <w:t xml:space="preserve">”</w:t>
      </w:r>
      <w:r>
        <w:rPr>
          <w:rFonts w:ascii="仿宋_GB2312" w:hAnsi="仿宋_GB2312" w:eastAsia="仿宋_GB2312" w:cs="仿宋_GB2312"/>
          <w:sz w:val="32"/>
          <w:szCs w:val="32"/>
        </w:rPr>
        <w:t xml:space="preserve">专题宣讲，通过历史和现实的对照、过去和现在的变化、国内和国外的对比，用小故事讲透大道理，掀起一波波学习热潮。</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在</w:t>
      </w:r>
      <w:r>
        <w:rPr>
          <w:rFonts w:ascii="仿宋" w:hAnsi="仿宋" w:eastAsia="仿宋" w:cs="仿宋"/>
          <w:sz w:val="32"/>
          <w:szCs w:val="32"/>
        </w:rPr>
        <w:t xml:space="preserve">“</w:t>
      </w:r>
      <w:r>
        <w:rPr>
          <w:rFonts w:ascii="仿宋_GB2312" w:hAnsi="仿宋_GB2312" w:eastAsia="仿宋_GB2312" w:cs="仿宋_GB2312"/>
          <w:sz w:val="32"/>
          <w:szCs w:val="32"/>
        </w:rPr>
        <w:t xml:space="preserve">新</w:t>
      </w:r>
      <w:r>
        <w:rPr>
          <w:rFonts w:ascii="仿宋" w:hAnsi="仿宋" w:eastAsia="仿宋" w:cs="仿宋"/>
          <w:sz w:val="32"/>
          <w:szCs w:val="32"/>
        </w:rPr>
        <w:t xml:space="preserve">”</w:t>
      </w:r>
      <w:r>
        <w:rPr>
          <w:rFonts w:ascii="仿宋_GB2312" w:hAnsi="仿宋_GB2312" w:eastAsia="仿宋_GB2312" w:cs="仿宋_GB2312"/>
          <w:sz w:val="32"/>
          <w:szCs w:val="32"/>
        </w:rPr>
        <w:t xml:space="preserve">上见真章，创新载体全面营造氛围。利用主题党日活动，把学习</w:t>
      </w:r>
      <w:r>
        <w:rPr>
          <w:rFonts w:ascii="仿宋" w:hAnsi="仿宋" w:eastAsia="仿宋" w:cs="仿宋"/>
          <w:sz w:val="32"/>
          <w:szCs w:val="32"/>
        </w:rPr>
        <w:t xml:space="preserve">“</w:t>
      </w:r>
      <w:r>
        <w:rPr>
          <w:rFonts w:ascii="仿宋_GB2312" w:hAnsi="仿宋_GB2312" w:eastAsia="仿宋_GB2312" w:cs="仿宋_GB2312"/>
          <w:sz w:val="32"/>
          <w:szCs w:val="32"/>
        </w:rPr>
        <w:t xml:space="preserve">党史</w:t>
      </w:r>
      <w:r>
        <w:rPr>
          <w:rFonts w:ascii="仿宋" w:hAnsi="仿宋" w:eastAsia="仿宋" w:cs="仿宋"/>
          <w:sz w:val="32"/>
          <w:szCs w:val="32"/>
        </w:rPr>
        <w:t xml:space="preserve">”</w:t>
      </w:r>
      <w:r>
        <w:rPr>
          <w:rFonts w:ascii="仿宋_GB2312" w:hAnsi="仿宋_GB2312" w:eastAsia="仿宋_GB2312" w:cs="仿宋_GB2312"/>
          <w:sz w:val="32"/>
          <w:szCs w:val="32"/>
        </w:rPr>
        <w:t xml:space="preserve">贯穿基层党组织全年始终。线上线下</w:t>
      </w:r>
      <w:r>
        <w:rPr>
          <w:rFonts w:ascii="仿宋" w:hAnsi="仿宋" w:eastAsia="仿宋" w:cs="仿宋"/>
          <w:sz w:val="32"/>
          <w:szCs w:val="32"/>
        </w:rPr>
        <w:t xml:space="preserve">“</w:t>
      </w:r>
      <w:r>
        <w:rPr>
          <w:rFonts w:ascii="仿宋_GB2312" w:hAnsi="仿宋_GB2312" w:eastAsia="仿宋_GB2312" w:cs="仿宋_GB2312"/>
          <w:sz w:val="32"/>
          <w:szCs w:val="32"/>
        </w:rPr>
        <w:t xml:space="preserve">不断档</w:t>
      </w:r>
      <w:r>
        <w:rPr>
          <w:rFonts w:ascii="仿宋" w:hAnsi="仿宋" w:eastAsia="仿宋" w:cs="仿宋"/>
          <w:sz w:val="32"/>
          <w:szCs w:val="32"/>
        </w:rPr>
        <w:t xml:space="preserve">”</w:t>
      </w:r>
      <w:r>
        <w:rPr>
          <w:rFonts w:ascii="仿宋_GB2312" w:hAnsi="仿宋_GB2312" w:eastAsia="仿宋_GB2312" w:cs="仿宋_GB2312"/>
          <w:sz w:val="32"/>
          <w:szCs w:val="32"/>
        </w:rPr>
        <w:t xml:space="preserve">，用好学习强国，云岭先锋引导广大党员、干部积极上网学习。充分利用家门口的红色资源，瞻仰迪庆红军长征纪念博物馆等相关教育基地，进一步讲好党的故事、革命的故事，积极调动大家学习的热情。</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在</w:t>
      </w:r>
      <w:r>
        <w:rPr>
          <w:rFonts w:ascii="仿宋" w:hAnsi="仿宋" w:eastAsia="仿宋" w:cs="仿宋"/>
          <w:sz w:val="32"/>
          <w:szCs w:val="32"/>
        </w:rPr>
        <w:t xml:space="preserve">“</w:t>
      </w:r>
      <w:r>
        <w:rPr>
          <w:rFonts w:ascii="仿宋_GB2312" w:hAnsi="仿宋_GB2312" w:eastAsia="仿宋_GB2312" w:cs="仿宋_GB2312"/>
          <w:sz w:val="32"/>
          <w:szCs w:val="32"/>
        </w:rPr>
        <w:t xml:space="preserve">实</w:t>
      </w:r>
      <w:r>
        <w:rPr>
          <w:rFonts w:ascii="仿宋" w:hAnsi="仿宋" w:eastAsia="仿宋" w:cs="仿宋"/>
          <w:sz w:val="32"/>
          <w:szCs w:val="32"/>
        </w:rPr>
        <w:t xml:space="preserve">”</w:t>
      </w:r>
      <w:r>
        <w:rPr>
          <w:rFonts w:ascii="仿宋_GB2312" w:hAnsi="仿宋_GB2312" w:eastAsia="仿宋_GB2312" w:cs="仿宋_GB2312"/>
          <w:sz w:val="32"/>
          <w:szCs w:val="32"/>
        </w:rPr>
        <w:t xml:space="preserve">上求突破，务求实效全面打开新局。以学促干，提升综合能力。学史明理、学史启智，把党史学习教育与推动经济社会发展、保护区资源保护、社区共管、科研、游憩等重点工作结合起来，把学习教育的成果转化为攻坚克难、干事创业的实际效果。以学助农，提升社区共管服务成效。教育引导广大党员在实施乡村振兴战略等工作中持续发挥先锋模范作用，以实际行动践行初心使命。如：在德钦、维西片区实施牧场管理、林下资源可持续利用和粗卡通社区共管创新示范项目等，计划投资100万元。</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（十）提高政治站位，严格落实疫情防控工作。</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40" w:left="0"/>
        <w:rPr>
          <w:rFonts w:ascii="Times New Roman" w:hAnsi="Times New Roman" w:eastAsia="Times New Roman" w:cs="Times New Roman"/>
          <w:sz w:val="21"/>
          <w:szCs w:val="21"/>
        </w:rPr>
      </w:pPr>
      <w:r>
        <w:rPr>
          <w:rStyle w:val="625"/>
          <w:rFonts w:ascii="仿宋_GB2312" w:hAnsi="仿宋_GB2312" w:eastAsia="仿宋_GB2312" w:cs="仿宋_GB2312"/>
          <w:sz w:val="32"/>
          <w:szCs w:val="32"/>
        </w:rPr>
        <w:t xml:space="preserve">一是加强组织领导，强化政治站位。多次组织召开会议认真学习落实以习近平同志为核心的党中央关于疫情防控工作的重更指示精神，根据州委州政府、州疫情防控指挥部要求，及时成立领导小组，领导小组下设办公室，统筹指导全局疫情防控工作。</w:t>
      </w:r>
      <w:r>
        <w:rPr>
          <w:rStyle w:val="625"/>
          <w:rFonts w:ascii="仿宋_GB2312" w:hAnsi="仿宋_GB2312" w:eastAsia="仿宋_GB2312" w:cs="仿宋_GB2312"/>
          <w:b w:val="0"/>
          <w:bCs w:val="0"/>
          <w:sz w:val="32"/>
          <w:szCs w:val="32"/>
        </w:rPr>
        <w:t xml:space="preserve">二是严密落实防控措施，确保内部管理严格有序。</w:t>
      </w:r>
      <w:r>
        <w:rPr>
          <w:rStyle w:val="625"/>
          <w:rFonts w:ascii="仿宋_GB2312" w:hAnsi="仿宋_GB2312" w:eastAsia="仿宋_GB2312" w:cs="仿宋_GB2312"/>
          <w:sz w:val="32"/>
          <w:szCs w:val="32"/>
        </w:rPr>
        <w:t xml:space="preserve">在排查并确保内部无感染风险隐患的基础上，防控重点转向外部防控。为坚决阻止病毒从外部侵入，加强单位及小区人员管理，严禁人员交叉，对外严格人员出入登记，一切出入落实报备、登记制度，从严控制，在防疫保障方面，对办公区域、小区等场所进行消毒，确保灭菌工作真正落到实处，全面防护。</w:t>
      </w:r>
      <w:r>
        <w:rPr>
          <w:rStyle w:val="625"/>
          <w:rFonts w:ascii="仿宋_GB2312" w:hAnsi="仿宋_GB2312" w:eastAsia="仿宋_GB2312" w:cs="仿宋_GB2312"/>
          <w:b w:val="0"/>
          <w:bCs w:val="0"/>
          <w:sz w:val="32"/>
          <w:szCs w:val="32"/>
        </w:rPr>
        <w:t xml:space="preserve">三是积极开展卫生宣传，普及卫生防病知识。</w:t>
      </w:r>
      <w:r>
        <w:rPr>
          <w:rStyle w:val="625"/>
          <w:rFonts w:ascii="仿宋_GB2312" w:hAnsi="仿宋_GB2312" w:eastAsia="仿宋_GB2312" w:cs="仿宋_GB2312"/>
          <w:sz w:val="32"/>
          <w:szCs w:val="32"/>
        </w:rPr>
        <w:t xml:space="preserve">认真组织本单位职工积极向亲属、身边群众开展爱国卫生宣传。通过开展卫生大扫除活动、个人宣传，微信公众号等方式向身边群众宣传普及卫生知识，提倡科学、文明、健康的生活方式，养成</w:t>
      </w:r>
      <w:r>
        <w:rPr>
          <w:rStyle w:val="625"/>
          <w:rFonts w:ascii="仿宋" w:hAnsi="仿宋" w:eastAsia="仿宋" w:cs="仿宋"/>
          <w:sz w:val="32"/>
          <w:szCs w:val="32"/>
        </w:rPr>
        <w:t xml:space="preserve">“</w:t>
      </w:r>
      <w:r>
        <w:rPr>
          <w:rStyle w:val="625"/>
          <w:rFonts w:ascii="仿宋_GB2312" w:hAnsi="仿宋_GB2312" w:eastAsia="仿宋_GB2312" w:cs="仿宋_GB2312"/>
          <w:sz w:val="32"/>
          <w:szCs w:val="32"/>
        </w:rPr>
        <w:t xml:space="preserve">戴口罩、勤洗手、测体温、勤消毒、少聚集、勤通风</w:t>
      </w:r>
      <w:r>
        <w:rPr>
          <w:rStyle w:val="625"/>
          <w:rFonts w:ascii="仿宋" w:hAnsi="仿宋" w:eastAsia="仿宋" w:cs="仿宋"/>
          <w:sz w:val="32"/>
          <w:szCs w:val="32"/>
        </w:rPr>
        <w:t xml:space="preserve">”</w:t>
      </w:r>
      <w:r>
        <w:rPr>
          <w:rStyle w:val="625"/>
          <w:rFonts w:ascii="仿宋_GB2312" w:hAnsi="仿宋_GB2312" w:eastAsia="仿宋_GB2312" w:cs="仿宋_GB2312"/>
          <w:sz w:val="32"/>
          <w:szCs w:val="32"/>
        </w:rPr>
        <w:t xml:space="preserve">的良好卫生习惯，提高卫生意识、防病意识和健康水平，严防死守，尽职尽责，为全州一盘棋开展疫情防控工作做出积极贡献。</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60" w:lineRule="atLeast"/>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（十一）全面推进巩固拓展脱贫攻坚成果同乡村振兴有效衔接工作。</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60" w:lineRule="atLeast"/>
        <w:ind w:right="0" w:firstLine="640" w:left="0"/>
        <w:rPr>
          <w:rFonts w:ascii="Times New Roman" w:hAnsi="Times New Roman" w:eastAsia="Times New Roman" w:cs="Times New Roman"/>
          <w:sz w:val="21"/>
          <w:szCs w:val="21"/>
        </w:rPr>
      </w:pPr>
      <w:r>
        <w:rPr>
          <w:rFonts w:ascii="仿宋_GB2312" w:hAnsi="仿宋_GB2312" w:eastAsia="仿宋_GB2312" w:cs="仿宋_GB2312"/>
          <w:sz w:val="32"/>
          <w:szCs w:val="32"/>
        </w:rPr>
        <w:t xml:space="preserve">按照州委、州政府统一部署，认真履行驻村帮扶责任，切实推进巩固拓展脱贫攻坚成果同乡村振兴有效衔接工作，强化工作措施，全力服务乡村振兴。</w:t>
      </w:r>
      <w:r>
        <w:rPr>
          <w:rFonts w:ascii="仿宋_GB2312" w:hAnsi="仿宋_GB2312" w:eastAsia="仿宋_GB2312" w:cs="仿宋_GB2312"/>
          <w:b w:val="0"/>
          <w:bCs w:val="0"/>
          <w:sz w:val="32"/>
          <w:szCs w:val="32"/>
        </w:rPr>
        <w:t xml:space="preserve">一是精心组织部署，强化责任落实。</w:t>
      </w:r>
      <w:r>
        <w:rPr>
          <w:rFonts w:ascii="仿宋_GB2312" w:hAnsi="仿宋_GB2312" w:eastAsia="仿宋_GB2312" w:cs="仿宋_GB2312"/>
          <w:sz w:val="32"/>
          <w:szCs w:val="32"/>
        </w:rPr>
        <w:t xml:space="preserve">专题研究，对驻村人员保障、计划安排、项目支持、资金落实和检查督办等进行专题研究部署。充分发挥选派驻村第一书记和工作队的作用，积极下派驻村第一书记，做到认真落实驻村工作经费和驻村干部有关待遇</w:t>
      </w:r>
      <w:r>
        <w:rPr>
          <w:rFonts w:ascii="仿宋_GB2312" w:hAnsi="仿宋_GB2312" w:eastAsia="仿宋_GB2312" w:cs="仿宋_GB2312"/>
          <w:color w:val="000000"/>
          <w:sz w:val="32"/>
          <w:szCs w:val="32"/>
          <w:u w:val="none"/>
        </w:rPr>
        <w:t xml:space="preserve">，建立健全扶贫工作</w:t>
      </w:r>
      <w:r>
        <w:rPr>
          <w:rFonts w:ascii="仿宋_GB2312" w:hAnsi="仿宋_GB2312" w:eastAsia="仿宋_GB2312" w:cs="仿宋_GB2312"/>
          <w:color w:val="000000"/>
          <w:sz w:val="32"/>
          <w:szCs w:val="32"/>
          <w:u w:val="none"/>
        </w:rPr>
        <w:fldChar w:fldCharType="begin"/>
      </w:r>
      <w:r>
        <w:rPr>
          <w:rFonts w:ascii="仿宋_GB2312" w:hAnsi="仿宋_GB2312" w:eastAsia="仿宋_GB2312" w:cs="仿宋_GB2312"/>
          <w:color w:val="000000"/>
          <w:sz w:val="32"/>
          <w:szCs w:val="32"/>
          <w:u w:val="none"/>
        </w:rPr>
        <w:instrText xml:space="preserve"> HYPERLINK "http://gongwen.cnrencai.com/zhidu/" </w:instrText>
      </w:r>
      <w:r>
        <w:rPr>
          <w:rFonts w:ascii="仿宋_GB2312" w:hAnsi="仿宋_GB2312" w:eastAsia="仿宋_GB2312" w:cs="仿宋_GB2312"/>
          <w:color w:val="000000"/>
          <w:sz w:val="32"/>
          <w:szCs w:val="32"/>
          <w:u w:val="none"/>
        </w:rPr>
        <w:fldChar w:fldCharType="separate"/>
      </w:r>
      <w:r>
        <w:rPr>
          <w:rStyle w:val="626"/>
          <w:rFonts w:ascii="仿宋_GB2312" w:hAnsi="仿宋_GB2312" w:eastAsia="仿宋_GB2312" w:cs="仿宋_GB2312"/>
          <w:color w:val="000000"/>
          <w:sz w:val="32"/>
          <w:szCs w:val="32"/>
          <w:u w:val="none"/>
        </w:rPr>
        <w:t xml:space="preserve">制度</w:t>
      </w:r>
      <w:r>
        <w:rPr>
          <w:rStyle w:val="626"/>
          <w:rFonts w:ascii="仿宋_GB2312" w:hAnsi="仿宋_GB2312" w:eastAsia="仿宋_GB2312" w:cs="仿宋_GB2312"/>
          <w:color w:val="000000"/>
          <w:sz w:val="32"/>
          <w:szCs w:val="32"/>
          <w:u w:val="none"/>
        </w:rPr>
        <w:fldChar w:fldCharType="end"/>
      </w:r>
      <w:r>
        <w:rPr>
          <w:rFonts w:ascii="仿宋_GB2312" w:hAnsi="仿宋_GB2312" w:eastAsia="仿宋_GB2312" w:cs="仿宋_GB2312"/>
          <w:color w:val="000000"/>
          <w:sz w:val="32"/>
          <w:szCs w:val="32"/>
          <w:u w:val="none"/>
        </w:rPr>
        <w:t xml:space="preserve">，按</w:t>
      </w:r>
      <w:r>
        <w:rPr>
          <w:rFonts w:ascii="仿宋_GB2312" w:hAnsi="仿宋_GB2312" w:eastAsia="仿宋_GB2312" w:cs="仿宋_GB2312"/>
          <w:color w:val="000000"/>
          <w:sz w:val="32"/>
          <w:szCs w:val="32"/>
          <w:u w:val="none"/>
        </w:rPr>
        <w:fldChar w:fldCharType="begin"/>
      </w:r>
      <w:r>
        <w:rPr>
          <w:rFonts w:ascii="仿宋_GB2312" w:hAnsi="仿宋_GB2312" w:eastAsia="仿宋_GB2312" w:cs="仿宋_GB2312"/>
          <w:color w:val="000000"/>
          <w:sz w:val="32"/>
          <w:szCs w:val="32"/>
          <w:u w:val="none"/>
        </w:rPr>
        <w:instrText xml:space="preserve"> HYPERLINK "http://gongwen.cnrencai.com/zhidu/" </w:instrText>
      </w:r>
      <w:r>
        <w:rPr>
          <w:rFonts w:ascii="仿宋_GB2312" w:hAnsi="仿宋_GB2312" w:eastAsia="仿宋_GB2312" w:cs="仿宋_GB2312"/>
          <w:color w:val="000000"/>
          <w:sz w:val="32"/>
          <w:szCs w:val="32"/>
          <w:u w:val="none"/>
        </w:rPr>
        <w:fldChar w:fldCharType="separate"/>
      </w:r>
      <w:r>
        <w:rPr>
          <w:rStyle w:val="626"/>
          <w:rFonts w:ascii="仿宋_GB2312" w:hAnsi="仿宋_GB2312" w:eastAsia="仿宋_GB2312" w:cs="仿宋_GB2312"/>
          <w:color w:val="000000"/>
          <w:sz w:val="32"/>
          <w:szCs w:val="32"/>
          <w:u w:val="none"/>
        </w:rPr>
        <w:t xml:space="preserve">制度</w:t>
      </w:r>
      <w:r>
        <w:rPr>
          <w:rStyle w:val="626"/>
          <w:rFonts w:ascii="仿宋_GB2312" w:hAnsi="仿宋_GB2312" w:eastAsia="仿宋_GB2312" w:cs="仿宋_GB2312"/>
          <w:color w:val="000000"/>
          <w:sz w:val="32"/>
          <w:szCs w:val="32"/>
          <w:u w:val="none"/>
        </w:rPr>
        <w:fldChar w:fldCharType="end"/>
      </w:r>
      <w:r>
        <w:rPr>
          <w:rFonts w:ascii="仿宋_GB2312" w:hAnsi="仿宋_GB2312" w:eastAsia="仿宋_GB2312" w:cs="仿宋_GB2312"/>
          <w:color w:val="000000"/>
          <w:sz w:val="32"/>
          <w:szCs w:val="32"/>
          <w:u w:val="none"/>
        </w:rPr>
        <w:t xml:space="preserve">落实责任。</w:t>
      </w:r>
      <w:r>
        <w:rPr>
          <w:rFonts w:ascii="仿宋_GB2312" w:hAnsi="仿宋_GB2312" w:eastAsia="仿宋_GB2312" w:cs="仿宋_GB2312"/>
          <w:b w:val="0"/>
          <w:bCs w:val="0"/>
          <w:color w:val="000000"/>
          <w:sz w:val="32"/>
          <w:szCs w:val="32"/>
          <w:u w:val="none"/>
        </w:rPr>
        <w:t xml:space="preserve">二是结合实际，真抓实干。</w:t>
      </w:r>
      <w:r>
        <w:rPr>
          <w:rFonts w:ascii="仿宋_GB2312" w:hAnsi="仿宋_GB2312" w:eastAsia="仿宋_GB2312" w:cs="仿宋_GB2312"/>
          <w:color w:val="000000"/>
          <w:sz w:val="32"/>
          <w:szCs w:val="32"/>
          <w:u w:val="none"/>
        </w:rPr>
        <w:t xml:space="preserve">以社区共管为内生动力，推动社区脱贫致富。从解决保护区群众切身利益</w:t>
      </w:r>
      <w:r>
        <w:rPr>
          <w:rFonts w:ascii="仿宋_GB2312" w:hAnsi="仿宋_GB2312" w:eastAsia="仿宋_GB2312" w:cs="仿宋_GB2312"/>
          <w:sz w:val="32"/>
          <w:szCs w:val="32"/>
        </w:rPr>
        <w:t xml:space="preserve">出发，在扶贫挂钩点实施能源替代项目、蔬菜大棚、中药材种植、环境卫生整治等项目，教育引导老百姓投身环境保护，分享保护区建设的红利，助力精准扶贫，激发群众参与性，同时也为维护民族团结、社会稳定提供了有力保障，进一步实现生态社会经济效益共赢。如：在德钦、维西片区实施牧场管理、林下资源可持续利用和粗卡通社区共管创新示范项目等，共计投资100万元。</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二、部门基本情况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（一）部门决算单位构成</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600" w:lineRule="atLeast"/>
        <w:ind w:right="0" w:firstLine="600" w:left="0"/>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纳入迪庆藏族自治州云南白马雪山国家级自然保护区管护局部门2021年度部门决算编报的单位共1个。其中：行政单位0个，参照公务员法管理的事业单位1个，其他事业单位0个。</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（二）部门人员和车辆的编制及实有情况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迪庆藏族自治州云南白马雪山国家级自然保护区管护局部门2021年末实有人员编制133人。其中：行政编制0人（含行政工勤编制0人），事业编制133人（含参公管理事业编制27人）；在职在编实有行政人员0人（含行政工勤人员0人），事业人员135.00人（含参公管理事业人员27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离退休人员0.00人。其中：离休0人，退休0人。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实有车辆编制4辆，在编实有车辆7辆。</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center"/>
        <w:rPr>
          <w:rFonts w:ascii="Times New Roman" w:hAnsi="Times New Roman" w:eastAsia="Times New Roman" w:cs="Times New Roman"/>
          <w:sz w:val="21"/>
          <w:szCs w:val="21"/>
        </w:rPr>
      </w:pPr>
      <w:r>
        <w:rPr>
          <w:rFonts w:ascii="黑体" w:hAnsi="黑体" w:eastAsia="黑体" w:cs="黑体"/>
          <w:sz w:val="32"/>
          <w:szCs w:val="32"/>
          <w:shd w:val="clear" w:color="auto" w:fill="ffffff"/>
        </w:rPr>
        <w:t xml:space="preserve">第二部分 </w:t>
      </w:r>
      <w:r>
        <w:rPr>
          <w:rFonts w:ascii="Calibri" w:hAnsi="Calibri" w:eastAsia="Calibri" w:cs="Calibri"/>
          <w:sz w:val="32"/>
          <w:szCs w:val="32"/>
          <w:shd w:val="clear" w:color="auto" w:fill="ffffff"/>
        </w:rPr>
        <w:t xml:space="preserve"> </w:t>
      </w:r>
      <w:r>
        <w:rPr>
          <w:rFonts w:ascii="黑体" w:hAnsi="黑体" w:eastAsia="黑体" w:cs="黑体"/>
          <w:sz w:val="32"/>
          <w:szCs w:val="32"/>
          <w:shd w:val="clear" w:color="auto" w:fill="ffffff"/>
        </w:rPr>
        <w:t xml:space="preserve">2021年度部门决算表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center"/>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（详见附件）</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8"/>
        <w:pBdr/>
        <w:spacing w:after="100" w:before="0" w:line="590" w:lineRule="atLeast"/>
        <w:ind w:right="0" w:firstLine="600" w:left="0"/>
        <w:rPr/>
      </w:pPr>
      <w:r>
        <w:rPr>
          <w:rFonts w:ascii="Times New Roman" w:hAnsi="Times New Roman" w:eastAsia="Times New Roman" w:cs="Times New Roman"/>
          <w:sz w:val="30"/>
          <w:szCs w:val="30"/>
          <w:shd w:val="clear" w:color="auto" w:fill="ffffff"/>
        </w:rPr>
        <w:t xml:space="preserve"> </w:t>
      </w:r>
      <w:r>
        <w:rPr>
          <w:rFonts w:ascii="仿宋" w:hAnsi="仿宋" w:eastAsia="仿宋" w:cs="仿宋"/>
          <w:sz w:val="30"/>
          <w:szCs w:val="30"/>
          <w:shd w:val="clear" w:color="auto" w:fill="ffffff"/>
        </w:rPr>
        <w:t xml:space="preserve">我单位不涉及政府性基金预算财政拨款收入支出以及国有资本经营预算财政拨款收入支出。</w:t>
      </w:r>
      <w:r/>
    </w:p>
    <w:p>
      <w:pPr>
        <w:pStyle w:val="629"/>
        <w:pBdr/>
        <w:spacing w:after="0" w:before="0" w:line="590" w:lineRule="atLeast"/>
        <w:ind w:right="0" w:firstLine="600" w:left="0"/>
        <w:jc w:val="center"/>
        <w:rPr>
          <w:rFonts w:ascii="Times New Roman" w:hAnsi="Times New Roman" w:eastAsia="Times New Roman" w:cs="Times New Roman"/>
          <w:sz w:val="21"/>
          <w:szCs w:val="21"/>
        </w:rPr>
      </w:pPr>
      <w:r>
        <w:rPr>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center"/>
        <w:rPr>
          <w:rFonts w:ascii="Times New Roman" w:hAnsi="Times New Roman" w:eastAsia="Times New Roman" w:cs="Times New Roman"/>
          <w:sz w:val="21"/>
          <w:szCs w:val="21"/>
        </w:rPr>
      </w:pPr>
      <w:r>
        <w:rPr>
          <w:rFonts w:ascii="黑体" w:hAnsi="黑体" w:eastAsia="黑体" w:cs="黑体"/>
          <w:sz w:val="32"/>
          <w:szCs w:val="32"/>
          <w:shd w:val="clear" w:color="auto" w:fill="ffffff"/>
        </w:rPr>
        <w:t xml:space="preserve">第三部分 </w:t>
      </w:r>
      <w:r>
        <w:rPr>
          <w:rFonts w:ascii="Calibri" w:hAnsi="Calibri" w:eastAsia="Calibri" w:cs="Calibri"/>
          <w:sz w:val="32"/>
          <w:szCs w:val="32"/>
          <w:shd w:val="clear" w:color="auto" w:fill="ffffff"/>
        </w:rPr>
        <w:t xml:space="preserve"> </w:t>
      </w:r>
      <w:r>
        <w:rPr>
          <w:rFonts w:ascii="黑体" w:hAnsi="黑体" w:eastAsia="黑体" w:cs="黑体"/>
          <w:sz w:val="32"/>
          <w:szCs w:val="32"/>
          <w:shd w:val="clear" w:color="auto" w:fill="ffffff"/>
        </w:rPr>
        <w:t xml:space="preserve">2021年度部门决算情况说明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一、收入决算情况说明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迪庆藏族自治州云南白马雪山国家级自然保护区管护局部门2021年度收入合计5,014</w:t>
      </w:r>
      <w:r>
        <w:rPr>
          <w:rFonts w:ascii="仿宋" w:hAnsi="仿宋" w:eastAsia="仿宋" w:cs="仿宋"/>
          <w:sz w:val="30"/>
          <w:szCs w:val="30"/>
          <w:shd w:val="clear" w:color="auto" w:fill="ffffff"/>
        </w:rPr>
        <w:t xml:space="preserve">.67万元。与上年同期的4,399.53万元相比，增加615.14万元，增幅13.98%，原因是：2020年新招录人员到位，相关人员费用大幅上升，保护区2021年度向上争取项目资金增加。其中：财政拨款收入4,626.68万元，占总收入的92.26%；上级补助收入0.00万元，占总收入的0.00%；事业收入0.00万元（含教育收费0.00万元），占总收入的0.00%；经营收入0.00万元，占总收入的0.00%；附属单位缴款收入0.00万元，占总收入的0.00%；其他收入387.99万元，占总收入的7.74%。</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二、支出决算情况说明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迪庆藏族自治州云南白马雪山国家级自然保护区管护局部门2021年度支出合计5,703.18万元。与上年同期的3,963.56万元相比，增加1,739.62万元，增幅43.89%，原因是：2020年新招录人员到位，相关人员费用大幅上升，保护区2021年度项目工作开展良好。其中：基本支出3,404.74万元，占总支出的59.70%；项目支出2,298.44万元，占总支出的40.30%；上缴上级支出、经营支出、对附属单位补助支出共0.00万元，占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（一）基本支出情况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2021年度用于保障迪庆藏族自治州云南白马雪山国家级自然保护区管护局机关、下属事业单位等机构正常运转的日常支出3,404.74万元。与上年同期的3,303.58万元对比增长101.16万元，增幅3.06%，原因是：2020年新招录人员及本年公务员遴选人员到位，相关人员费用大幅上升。包括基本工资、津贴补贴等人员经费支出3,235.37万元，占基本支出的95.03%。办公费、印刷费、水电费、办公设备购置等公用经费169.38万元，占基本支出的4.97%</w:t>
      </w:r>
      <w:r>
        <w:rPr>
          <w:rFonts w:ascii="仿宋" w:hAnsi="仿宋" w:eastAsia="仿宋" w:cs="仿宋"/>
          <w:color w:val="000000"/>
          <w:sz w:val="30"/>
          <w:szCs w:val="30"/>
          <w:shd w:val="clear" w:color="auto" w:fill="ffffff"/>
        </w:rPr>
        <w:t xml:space="preserve">。</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（二）项目支出情况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2021年度用于保障迪庆藏族自治州云南白马雪山国家级自然保护区管护局机构、下属事业单位等机构为完成特定的行政工作任务或事业发展目标，用于专项业务工作的经费支出2,298.44万元。与上年同期的659.97万元增加1,638.47万元，增幅248.26%，原因是本年度保护区向上争取项目增加，相应支出也增加。其中：2019999-一般公共服务支出1.03万元，2060404-科技成果转化</w:t>
      </w:r>
      <w:r>
        <w:rPr>
          <w:rFonts w:ascii="仿宋" w:hAnsi="仿宋" w:eastAsia="仿宋" w:cs="仿宋"/>
          <w:sz w:val="30"/>
          <w:szCs w:val="30"/>
          <w:shd w:val="clear" w:color="auto" w:fill="ffffff"/>
        </w:rPr>
        <w:t xml:space="preserve">与扩散支出20.46万元，2060499-其他技术研究与开发支出9.92万元，2060702-科普活动支出1万元，2109999-其他卫生健康支出0.62万元，2110299-其他环境与监察支出4.79万元，2110501-森林管护支出17.24万元，2129999-其他城乡社区支出23.49万元，2130209-森林生态效益补偿支出865.31万元，2130210-自然保护区等管理支出1,028.37万元，2130211-动植物保护支出106.08万元，2130299-其他林业和草原支出220.13万元。</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三、一般公共预算财政拨款支出决算情况说明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（一）一般公共预算财政拨款支出决算总体情况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迪庆藏族自治州云南白马雪山国家级自然保护区管护局部门2021年度一般公共预算财政拨款支出5,356.12万元，占本年支出合计的93.91%</w:t>
      </w:r>
      <w:r>
        <w:rPr>
          <w:rFonts w:ascii="仿宋" w:hAnsi="仿宋" w:eastAsia="仿宋" w:cs="仿宋"/>
          <w:color w:val="000000"/>
          <w:sz w:val="30"/>
          <w:szCs w:val="30"/>
          <w:shd w:val="clear" w:color="auto" w:fill="ffffff"/>
        </w:rPr>
        <w:t xml:space="preserve">。与上年同期的3,701.82万元增加1,654.3万元，增幅44.69%，原因是</w:t>
      </w:r>
      <w:r>
        <w:rPr>
          <w:rFonts w:ascii="仿宋" w:hAnsi="仿宋" w:eastAsia="仿宋" w:cs="仿宋"/>
          <w:sz w:val="30"/>
          <w:szCs w:val="30"/>
          <w:shd w:val="clear" w:color="auto" w:fill="ffffff"/>
        </w:rPr>
        <w:t xml:space="preserve">2020年新招录人员及本年公务员遴选人员到位，相关人员费用大幅上升，并且本年度项目支出良好。</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（二）一般公共预算财政拨款支出决算具体情况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_GB2312" w:hAnsi="仿宋_GB2312" w:eastAsia="仿宋_GB2312" w:cs="仿宋_GB2312"/>
          <w:sz w:val="30"/>
          <w:szCs w:val="30"/>
          <w:shd w:val="clear" w:color="auto" w:fill="ffffff"/>
        </w:rPr>
        <w:t xml:space="preserve"> </w:t>
      </w: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1.一般公共服务（类）支出37.12万元，占一般公共预算财政拨款总支出的0.69%。</w:t>
      </w:r>
      <w:r>
        <w:rPr>
          <w:rFonts w:ascii="仿宋" w:hAnsi="仿宋" w:eastAsia="仿宋" w:cs="仿宋"/>
          <w:sz w:val="30"/>
          <w:szCs w:val="30"/>
        </w:rPr>
        <w:t xml:space="preserve">主要用于2021年度保护区办公取暖费用及2020年度目督奖金支出。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2.外交（类）支出0.00万元，占一般公共预算财政拨款总支出的0.00%。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3.国防（类）支出0.00万元，占一般公共预算财政拨款总支出的0.00%。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4.公共安全（类）支出0.00万元，占一般公共预算财政拨款总支出的0.00%。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5.教育（类）支出0.00万元，占一般公共预算财政拨款总支出的0.00%。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6.科学技术（类）支出31.38万元，占一般公共预算财政拨款总支出的0.59%。主要用于科学技术类项目支出；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7.文化旅游体育与传媒（类）支出0.00万元，占一般公共预算财政拨款总支出的0.00%。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8.社会保障和就业（类）支出297.59万元，占一般公共预算财政拨款总支出的5.56%。主要用于机关事业单位基本养老保险缴费支出、机关事业单位职业年金缴费支出、其他行政事业单位养老支出；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9.卫生健康（类）支出238.70万元，占一般公共预算财政拨款总支出的4.46%。主要用于行政单位医疗、事业单位医疗、公务员医疗补助；</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10.节能环保（类）支出0.00万元，占一般公共预算财政拨款总支出的0.00%。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8"/>
        <w:pBdr/>
        <w:spacing w:after="100" w:before="100" w:line="600" w:lineRule="atLeast"/>
        <w:ind w:right="0" w:firstLine="600" w:left="0"/>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11.城乡社区（类）支出23.49万元，占一般公共预算财政拨款总支出的0.44%。</w:t>
      </w:r>
      <w:r>
        <w:rPr>
          <w:rFonts w:ascii="仿宋" w:hAnsi="仿宋" w:eastAsia="仿宋" w:cs="仿宋"/>
          <w:sz w:val="30"/>
          <w:szCs w:val="30"/>
        </w:rPr>
        <w:t xml:space="preserve">主要用于开展保护区勘界立标项目产生的各项费用。</w:t>
      </w: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12.农林水（类）支出4,505.59万元，占一般公共预算财政拨款总支出的84.12%。主要用于工资福利支出以及公用经费支出；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13.交通运输（类）支出0.00万元，占一般公共预算财政拨款总支出的0.00%。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14.资源勘探工业信息等（类）支出类0.00万元，占一般公共预算财政拨款总支出的0.00%。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15.商业服务业等（类）支出0.00万元，占一般公共预算财政拨款总支出的0.00%。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16.金融（类）支出0.00万元，占一般公共预算财政拨款总支出的0.00%。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17.援助其他地区（类）支出0.00万元，占一般公共预算财政拨款总支出的0.00%。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18.自然资源海洋气象等（类）支出0.00万元，占一般公共预算财政拨款总支出的0.00%。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8"/>
        <w:pBdr/>
        <w:spacing w:after="100" w:before="0" w:line="590" w:lineRule="atLeast"/>
        <w:ind w:right="0" w:firstLine="600" w:left="0"/>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19.住房保障（类）支出222.25万元，占一般公共预算财政拨款总支出的4.15%。</w:t>
      </w:r>
      <w:r>
        <w:rPr>
          <w:rFonts w:ascii="仿宋" w:hAnsi="仿宋" w:eastAsia="仿宋" w:cs="仿宋"/>
          <w:sz w:val="30"/>
          <w:szCs w:val="30"/>
        </w:rPr>
        <w:t xml:space="preserve">主要用于机关事业单位住房公积金缴费支出。</w:t>
      </w: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20.粮油物资储备（类）支出0.00万元，占一般公共预算财政拨款总支出的0.00%。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21.国有资本经营预算（类）支出0.00万元，占一般公共预算财政拨款总支出的0.00%。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22.灾害防治及应急管理（类）支出0.00万元，占一般公共预算财政拨款总支出的0.00%。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23.其他（类）支出0.00万元，占一般公共预算财政拨款总支出的0.00%。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24.债务还本（类）支出0.00万元，占一般公共预算财政拨款总支出的0.00%。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25.债务付息（类）支出0.00万元，占一般公共预算财政拨款总支出的0.00%。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仿宋" w:hAnsi="仿宋" w:eastAsia="仿宋" w:cs="仿宋"/>
          <w:sz w:val="30"/>
          <w:szCs w:val="30"/>
          <w:shd w:val="clear" w:color="auto" w:fill="ffffff"/>
        </w:rPr>
        <w:t xml:space="preserve">26.抗疫特别国债安排（类）支出0.00万元，占一般公共预算财政拨款总支出的0.00%。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四、一般公共预算财政拨款</w:t>
      </w:r>
      <w:r>
        <w:rPr>
          <w:sz w:val="30"/>
          <w:szCs w:val="30"/>
          <w:shd w:val="clear" w:color="auto" w:fill="ffffff"/>
        </w:rPr>
        <w:t xml:space="preserve">“</w:t>
      </w:r>
      <w:r>
        <w:rPr>
          <w:rFonts w:ascii="黑体" w:hAnsi="黑体" w:eastAsia="黑体" w:cs="黑体"/>
          <w:sz w:val="30"/>
          <w:szCs w:val="30"/>
          <w:shd w:val="clear" w:color="auto" w:fill="ffffff"/>
        </w:rPr>
        <w:t xml:space="preserve">三公</w:t>
      </w:r>
      <w:r>
        <w:rPr>
          <w:sz w:val="30"/>
          <w:szCs w:val="30"/>
          <w:shd w:val="clear" w:color="auto" w:fill="ffffff"/>
        </w:rPr>
        <w:t xml:space="preserve">”</w:t>
      </w:r>
      <w:r>
        <w:rPr>
          <w:rFonts w:ascii="黑体" w:hAnsi="黑体" w:eastAsia="黑体" w:cs="黑体"/>
          <w:sz w:val="30"/>
          <w:szCs w:val="30"/>
          <w:shd w:val="clear" w:color="auto" w:fill="ffffff"/>
        </w:rPr>
        <w:t xml:space="preserve">经费支出决算情况说明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(一)</w:t>
      </w:r>
      <w:r>
        <w:rPr>
          <w:rFonts w:ascii="Calibri" w:hAnsi="Calibri" w:eastAsia="Calibri" w:cs="Calibri"/>
          <w:sz w:val="30"/>
          <w:szCs w:val="30"/>
          <w:shd w:val="clear" w:color="auto" w:fill="ffffff"/>
        </w:rPr>
        <w:t xml:space="preserve"> </w:t>
      </w:r>
      <w:r>
        <w:rPr>
          <w:rFonts w:ascii="楷体" w:hAnsi="楷体" w:eastAsia="楷体" w:cs="楷体"/>
          <w:sz w:val="30"/>
          <w:szCs w:val="30"/>
          <w:shd w:val="clear" w:color="auto" w:fill="ffffff"/>
        </w:rPr>
        <w:t xml:space="preserve">一般公共预算财政拨款</w:t>
      </w:r>
      <w:r>
        <w:rPr>
          <w:sz w:val="30"/>
          <w:szCs w:val="30"/>
          <w:shd w:val="clear" w:color="auto" w:fill="ffffff"/>
        </w:rPr>
        <w:t xml:space="preserve">“</w:t>
      </w:r>
      <w:r>
        <w:rPr>
          <w:rFonts w:ascii="楷体" w:hAnsi="楷体" w:eastAsia="楷体" w:cs="楷体"/>
          <w:sz w:val="30"/>
          <w:szCs w:val="30"/>
          <w:shd w:val="clear" w:color="auto" w:fill="ffffff"/>
        </w:rPr>
        <w:t xml:space="preserve">三公</w:t>
      </w:r>
      <w:r>
        <w:rPr>
          <w:sz w:val="30"/>
          <w:szCs w:val="30"/>
          <w:shd w:val="clear" w:color="auto" w:fill="ffffff"/>
        </w:rPr>
        <w:t xml:space="preserve">”</w:t>
      </w:r>
      <w:r>
        <w:rPr>
          <w:rFonts w:ascii="楷体" w:hAnsi="楷体" w:eastAsia="楷体" w:cs="楷体"/>
          <w:sz w:val="30"/>
          <w:szCs w:val="30"/>
          <w:shd w:val="clear" w:color="auto" w:fill="ffffff"/>
        </w:rPr>
        <w:t xml:space="preserve">经费支出决算总体情况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8"/>
        <w:pBdr/>
        <w:spacing w:after="100" w:before="0" w:line="590" w:lineRule="atLeast"/>
        <w:ind w:right="0" w:firstLine="600" w:left="0"/>
        <w:rPr/>
      </w:pPr>
      <w:r>
        <w:rPr>
          <w:rFonts w:ascii="仿宋" w:hAnsi="仿宋" w:eastAsia="仿宋" w:cs="仿宋"/>
          <w:sz w:val="30"/>
          <w:szCs w:val="30"/>
          <w:shd w:val="clear" w:color="auto" w:fill="ffffff"/>
        </w:rPr>
        <w:t xml:space="preserve">迪庆藏族自治州云南白马雪山国家级自然保护区管护局部门2021年度一般公共预算财政拨款</w:t>
      </w:r>
      <w:r>
        <w:rPr>
          <w:rFonts w:ascii="Times New Roman" w:hAnsi="Times New Roman" w:eastAsia="Times New Roman" w:cs="Times New Roman"/>
          <w:sz w:val="30"/>
          <w:szCs w:val="30"/>
          <w:shd w:val="clear" w:color="auto" w:fill="ffffff"/>
        </w:rPr>
        <w:t xml:space="preserve">“</w:t>
      </w:r>
      <w:r>
        <w:rPr>
          <w:rFonts w:ascii="仿宋" w:hAnsi="仿宋" w:eastAsia="仿宋" w:cs="仿宋"/>
          <w:sz w:val="30"/>
          <w:szCs w:val="30"/>
          <w:shd w:val="clear" w:color="auto" w:fill="ffffff"/>
        </w:rPr>
        <w:t xml:space="preserve">三公</w:t>
      </w:r>
      <w:r>
        <w:rPr>
          <w:rFonts w:ascii="Times New Roman" w:hAnsi="Times New Roman" w:eastAsia="Times New Roman" w:cs="Times New Roman"/>
          <w:sz w:val="30"/>
          <w:szCs w:val="30"/>
          <w:shd w:val="clear" w:color="auto" w:fill="ffffff"/>
        </w:rPr>
        <w:t xml:space="preserve">”</w:t>
      </w:r>
      <w:r>
        <w:rPr>
          <w:rFonts w:ascii="仿宋" w:hAnsi="仿宋" w:eastAsia="仿宋" w:cs="仿宋"/>
          <w:sz w:val="30"/>
          <w:szCs w:val="30"/>
          <w:shd w:val="clear" w:color="auto" w:fill="ffffff"/>
        </w:rPr>
        <w:t xml:space="preserve">经费支出预算为19万元，支出决算为12.22万元，完成预算的35.68%。其中：因公出国（境）费支出决算为0.00万元，完成预算的0%；公务用车购置及运行费支出决算为9.78万元，完成预算的97.8%；公务接待费支出决算为2.44万元，完成预算的27%。2021年度一般公共预算财政拨款</w:t>
      </w:r>
      <w:r>
        <w:rPr>
          <w:rFonts w:ascii="Times New Roman" w:hAnsi="Times New Roman" w:eastAsia="Times New Roman" w:cs="Times New Roman"/>
          <w:sz w:val="30"/>
          <w:szCs w:val="30"/>
          <w:shd w:val="clear" w:color="auto" w:fill="ffffff"/>
        </w:rPr>
        <w:t xml:space="preserve">“</w:t>
      </w:r>
      <w:r>
        <w:rPr>
          <w:rFonts w:ascii="仿宋" w:hAnsi="仿宋" w:eastAsia="仿宋" w:cs="仿宋"/>
          <w:sz w:val="30"/>
          <w:szCs w:val="30"/>
          <w:shd w:val="clear" w:color="auto" w:fill="ffffff"/>
        </w:rPr>
        <w:t xml:space="preserve">三公</w:t>
      </w:r>
      <w:r>
        <w:rPr>
          <w:rFonts w:ascii="Times New Roman" w:hAnsi="Times New Roman" w:eastAsia="Times New Roman" w:cs="Times New Roman"/>
          <w:sz w:val="30"/>
          <w:szCs w:val="30"/>
          <w:shd w:val="clear" w:color="auto" w:fill="ffffff"/>
        </w:rPr>
        <w:t xml:space="preserve">”</w:t>
      </w:r>
      <w:r>
        <w:rPr>
          <w:rFonts w:ascii="仿宋" w:hAnsi="仿宋" w:eastAsia="仿宋" w:cs="仿宋"/>
          <w:sz w:val="30"/>
          <w:szCs w:val="30"/>
          <w:shd w:val="clear" w:color="auto" w:fill="ffffff"/>
        </w:rPr>
        <w:t xml:space="preserve">经费支出决算数小于预算数的主要原因是本年度公务接待次数减少。</w:t>
      </w:r>
      <w:r/>
    </w:p>
    <w:p>
      <w:pPr>
        <w:pStyle w:val="628"/>
        <w:pBdr/>
        <w:spacing w:after="100" w:before="0" w:line="590" w:lineRule="atLeast"/>
        <w:ind w:right="0" w:firstLine="600" w:left="0"/>
        <w:rPr/>
      </w:pPr>
      <w:r>
        <w:rPr>
          <w:rFonts w:ascii="仿宋" w:hAnsi="仿宋" w:eastAsia="仿宋" w:cs="仿宋"/>
          <w:sz w:val="30"/>
          <w:szCs w:val="30"/>
          <w:shd w:val="clear" w:color="auto" w:fill="ffffff"/>
        </w:rPr>
        <w:t xml:space="preserve">2021年度一般公共预算财政拨款</w:t>
      </w:r>
      <w:r>
        <w:rPr>
          <w:rFonts w:ascii="Times New Roman" w:hAnsi="Times New Roman" w:eastAsia="Times New Roman" w:cs="Times New Roman"/>
          <w:sz w:val="30"/>
          <w:szCs w:val="30"/>
          <w:shd w:val="clear" w:color="auto" w:fill="ffffff"/>
        </w:rPr>
        <w:t xml:space="preserve">“</w:t>
      </w:r>
      <w:r>
        <w:rPr>
          <w:rFonts w:ascii="仿宋" w:hAnsi="仿宋" w:eastAsia="仿宋" w:cs="仿宋"/>
          <w:sz w:val="30"/>
          <w:szCs w:val="30"/>
          <w:shd w:val="clear" w:color="auto" w:fill="ffffff"/>
        </w:rPr>
        <w:t xml:space="preserve">三公</w:t>
      </w:r>
      <w:r>
        <w:rPr>
          <w:rFonts w:ascii="Times New Roman" w:hAnsi="Times New Roman" w:eastAsia="Times New Roman" w:cs="Times New Roman"/>
          <w:sz w:val="30"/>
          <w:szCs w:val="30"/>
          <w:shd w:val="clear" w:color="auto" w:fill="ffffff"/>
        </w:rPr>
        <w:t xml:space="preserve">”</w:t>
      </w:r>
      <w:r>
        <w:rPr>
          <w:rFonts w:ascii="仿宋" w:hAnsi="仿宋" w:eastAsia="仿宋" w:cs="仿宋"/>
          <w:sz w:val="30"/>
          <w:szCs w:val="30"/>
          <w:shd w:val="clear" w:color="auto" w:fill="ffffff"/>
        </w:rPr>
        <w:t xml:space="preserve">经费支出决算数比2020年减少2.59万元，下降17.50%。其中：因公出国（境）费支出决算减少0.00万元，下降0.00%；公务用车购置及运行费支出决算减少0.22万元，下降2.18%；公务接待费支出决算减少2.37万元，下降49.30%。2021年度一般公共预算财政拨款</w:t>
      </w:r>
      <w:r>
        <w:rPr>
          <w:rFonts w:ascii="Times New Roman" w:hAnsi="Times New Roman" w:eastAsia="Times New Roman" w:cs="Times New Roman"/>
          <w:sz w:val="30"/>
          <w:szCs w:val="30"/>
          <w:shd w:val="clear" w:color="auto" w:fill="ffffff"/>
        </w:rPr>
        <w:t xml:space="preserve">“</w:t>
      </w:r>
      <w:r>
        <w:rPr>
          <w:rFonts w:ascii="仿宋" w:hAnsi="仿宋" w:eastAsia="仿宋" w:cs="仿宋"/>
          <w:sz w:val="30"/>
          <w:szCs w:val="30"/>
          <w:shd w:val="clear" w:color="auto" w:fill="ffffff"/>
        </w:rPr>
        <w:t xml:space="preserve">三公</w:t>
      </w:r>
      <w:r>
        <w:rPr>
          <w:rFonts w:ascii="Times New Roman" w:hAnsi="Times New Roman" w:eastAsia="Times New Roman" w:cs="Times New Roman"/>
          <w:sz w:val="30"/>
          <w:szCs w:val="30"/>
          <w:shd w:val="clear" w:color="auto" w:fill="ffffff"/>
        </w:rPr>
        <w:t xml:space="preserve">”</w:t>
      </w:r>
      <w:r>
        <w:rPr>
          <w:rFonts w:ascii="仿宋" w:hAnsi="仿宋" w:eastAsia="仿宋" w:cs="仿宋"/>
          <w:sz w:val="30"/>
          <w:szCs w:val="30"/>
          <w:shd w:val="clear" w:color="auto" w:fill="ffffff"/>
        </w:rPr>
        <w:t xml:space="preserve">经费支出决算减少的主要原因是本年度公务接待次数减少，支出较上年下降。</w:t>
      </w: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楷体" w:hAnsi="楷体" w:eastAsia="楷体" w:cs="楷体"/>
          <w:sz w:val="30"/>
          <w:szCs w:val="30"/>
          <w:shd w:val="clear" w:color="auto" w:fill="ffffff"/>
        </w:rPr>
        <w:t xml:space="preserve">(二)</w:t>
      </w:r>
      <w:r>
        <w:rPr>
          <w:rFonts w:ascii="仿宋_GB2312" w:hAnsi="仿宋_GB2312" w:eastAsia="仿宋_GB2312" w:cs="仿宋_GB2312"/>
          <w:sz w:val="30"/>
          <w:szCs w:val="30"/>
          <w:shd w:val="clear" w:color="auto" w:fill="ffffff"/>
        </w:rPr>
        <w:t xml:space="preserve"> </w:t>
      </w:r>
      <w:r>
        <w:rPr>
          <w:rFonts w:ascii="楷体" w:hAnsi="楷体" w:eastAsia="楷体" w:cs="楷体"/>
          <w:sz w:val="30"/>
          <w:szCs w:val="30"/>
          <w:shd w:val="clear" w:color="auto" w:fill="ffffff"/>
        </w:rPr>
        <w:t xml:space="preserve">一般公共预算财政拨款</w:t>
      </w:r>
      <w:r>
        <w:rPr>
          <w:sz w:val="30"/>
          <w:szCs w:val="30"/>
          <w:shd w:val="clear" w:color="auto" w:fill="ffffff"/>
        </w:rPr>
        <w:t xml:space="preserve">“</w:t>
      </w:r>
      <w:r>
        <w:rPr>
          <w:rFonts w:ascii="楷体" w:hAnsi="楷体" w:eastAsia="楷体" w:cs="楷体"/>
          <w:sz w:val="30"/>
          <w:szCs w:val="30"/>
          <w:shd w:val="clear" w:color="auto" w:fill="ffffff"/>
        </w:rPr>
        <w:t xml:space="preserve">三公</w:t>
      </w:r>
      <w:r>
        <w:rPr>
          <w:sz w:val="30"/>
          <w:szCs w:val="30"/>
          <w:shd w:val="clear" w:color="auto" w:fill="ffffff"/>
        </w:rPr>
        <w:t xml:space="preserve">”</w:t>
      </w:r>
      <w:r>
        <w:rPr>
          <w:rFonts w:ascii="楷体" w:hAnsi="楷体" w:eastAsia="楷体" w:cs="楷体"/>
          <w:sz w:val="30"/>
          <w:szCs w:val="30"/>
          <w:shd w:val="clear" w:color="auto" w:fill="ffffff"/>
        </w:rPr>
        <w:t xml:space="preserve">经费支出决算具体情况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2021年度</w:t>
      </w:r>
      <w:r>
        <w:rPr>
          <w:rFonts w:ascii="仿宋_GB2312" w:hAnsi="仿宋_GB2312" w:eastAsia="仿宋_GB2312" w:cs="仿宋_GB2312"/>
          <w:sz w:val="30"/>
          <w:szCs w:val="30"/>
          <w:shd w:val="clear" w:color="auto" w:fill="ffffff"/>
        </w:rPr>
        <w:t xml:space="preserve">一</w:t>
      </w:r>
      <w:r>
        <w:rPr>
          <w:rFonts w:ascii="仿宋" w:hAnsi="仿宋" w:eastAsia="仿宋" w:cs="仿宋"/>
          <w:sz w:val="30"/>
          <w:szCs w:val="30"/>
          <w:shd w:val="clear" w:color="auto" w:fill="ffffff"/>
        </w:rPr>
        <w:t xml:space="preserve">般公共预算财政拨款</w:t>
      </w:r>
      <w:r>
        <w:rPr>
          <w:sz w:val="30"/>
          <w:szCs w:val="30"/>
          <w:shd w:val="clear" w:color="auto" w:fill="ffffff"/>
        </w:rPr>
        <w:t xml:space="preserve">“</w:t>
      </w:r>
      <w:r>
        <w:rPr>
          <w:rFonts w:ascii="仿宋" w:hAnsi="仿宋" w:eastAsia="仿宋" w:cs="仿宋"/>
          <w:sz w:val="30"/>
          <w:szCs w:val="30"/>
          <w:shd w:val="clear" w:color="auto" w:fill="ffffff"/>
        </w:rPr>
        <w:t xml:space="preserve">三公</w:t>
      </w:r>
      <w:r>
        <w:rPr>
          <w:sz w:val="30"/>
          <w:szCs w:val="30"/>
          <w:shd w:val="clear" w:color="auto" w:fill="ffffff"/>
        </w:rPr>
        <w:t xml:space="preserve">”</w:t>
      </w:r>
      <w:r>
        <w:rPr>
          <w:rFonts w:ascii="仿宋" w:hAnsi="仿宋" w:eastAsia="仿宋" w:cs="仿宋"/>
          <w:sz w:val="30"/>
          <w:szCs w:val="30"/>
          <w:shd w:val="clear" w:color="auto" w:fill="ffffff"/>
        </w:rPr>
        <w:t xml:space="preserve">经费支出决算中，因公出国（境）费支出0.00万元，占0.00%；公务用车购置及运行维护费支出9.78万元，占80.02%；公务接待费支出2.44万元，占19.98%。具体情况如下：</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2" w:left="0"/>
        <w:rPr>
          <w:rFonts w:ascii="Times New Roman" w:hAnsi="Times New Roman" w:eastAsia="Times New Roman" w:cs="Times New Roman"/>
          <w:sz w:val="21"/>
          <w:szCs w:val="21"/>
        </w:rPr>
      </w:pPr>
      <w:r>
        <w:rPr>
          <w:rFonts w:ascii="仿宋" w:hAnsi="仿宋" w:eastAsia="仿宋" w:cs="仿宋"/>
          <w:b/>
          <w:bCs/>
          <w:sz w:val="30"/>
          <w:szCs w:val="30"/>
          <w:shd w:val="clear" w:color="auto" w:fill="ffffff"/>
        </w:rPr>
        <w:t xml:space="preserve">1.因公出国（境）费</w:t>
      </w:r>
      <w:r>
        <w:rPr>
          <w:rFonts w:ascii="仿宋" w:hAnsi="仿宋" w:eastAsia="仿宋" w:cs="仿宋"/>
          <w:sz w:val="30"/>
          <w:szCs w:val="30"/>
          <w:shd w:val="clear" w:color="auto" w:fill="ffffff"/>
        </w:rPr>
        <w:t xml:space="preserve">支出0.00万元，共安排因公出国（境）团组0个，累计0人次。</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2" w:left="0"/>
        <w:jc w:val="left"/>
        <w:rPr>
          <w:rFonts w:ascii="Times New Roman" w:hAnsi="Times New Roman" w:eastAsia="Times New Roman" w:cs="Times New Roman"/>
          <w:sz w:val="21"/>
          <w:szCs w:val="21"/>
        </w:rPr>
      </w:pPr>
      <w:r>
        <w:rPr>
          <w:rFonts w:ascii="仿宋" w:hAnsi="仿宋" w:eastAsia="仿宋" w:cs="仿宋"/>
          <w:b/>
          <w:bCs/>
          <w:sz w:val="30"/>
          <w:szCs w:val="30"/>
          <w:shd w:val="clear" w:color="auto" w:fill="ffffff"/>
        </w:rPr>
        <w:t xml:space="preserve">2. 公务用车购置及运行维护费</w:t>
      </w:r>
      <w:r>
        <w:rPr>
          <w:rFonts w:ascii="仿宋" w:hAnsi="仿宋" w:eastAsia="仿宋" w:cs="仿宋"/>
          <w:sz w:val="30"/>
          <w:szCs w:val="30"/>
          <w:shd w:val="clear" w:color="auto" w:fill="ffffff"/>
        </w:rPr>
        <w:t xml:space="preserve">支出9.78万元。其中：</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2" w:left="0"/>
        <w:rPr>
          <w:rFonts w:ascii="Times New Roman" w:hAnsi="Times New Roman" w:eastAsia="Times New Roman" w:cs="Times New Roman"/>
          <w:sz w:val="21"/>
          <w:szCs w:val="21"/>
        </w:rPr>
      </w:pPr>
      <w:r>
        <w:rPr>
          <w:rFonts w:ascii="仿宋" w:hAnsi="仿宋" w:eastAsia="仿宋" w:cs="仿宋"/>
          <w:b/>
          <w:bCs/>
          <w:sz w:val="30"/>
          <w:szCs w:val="30"/>
          <w:shd w:val="clear" w:color="auto" w:fill="ffffff"/>
        </w:rPr>
        <w:t xml:space="preserve">公务用车购置</w:t>
      </w:r>
      <w:r>
        <w:rPr>
          <w:rFonts w:ascii="仿宋" w:hAnsi="仿宋" w:eastAsia="仿宋" w:cs="仿宋"/>
          <w:sz w:val="30"/>
          <w:szCs w:val="30"/>
          <w:shd w:val="clear" w:color="auto" w:fill="ffffff"/>
        </w:rPr>
        <w:t xml:space="preserve">支出0.00万元，购置车辆0辆。</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2" w:left="0"/>
        <w:jc w:val="left"/>
        <w:rPr>
          <w:rFonts w:ascii="Times New Roman" w:hAnsi="Times New Roman" w:eastAsia="Times New Roman" w:cs="Times New Roman"/>
          <w:sz w:val="21"/>
          <w:szCs w:val="21"/>
        </w:rPr>
      </w:pPr>
      <w:r>
        <w:rPr>
          <w:rFonts w:ascii="仿宋" w:hAnsi="仿宋" w:eastAsia="仿宋" w:cs="仿宋"/>
          <w:b/>
          <w:bCs/>
          <w:sz w:val="30"/>
          <w:szCs w:val="30"/>
          <w:shd w:val="clear" w:color="auto" w:fill="ffffff"/>
        </w:rPr>
        <w:t xml:space="preserve">公务用车运行维护</w:t>
      </w:r>
      <w:r>
        <w:rPr>
          <w:rFonts w:ascii="仿宋" w:hAnsi="仿宋" w:eastAsia="仿宋" w:cs="仿宋"/>
          <w:sz w:val="30"/>
          <w:szCs w:val="30"/>
          <w:shd w:val="clear" w:color="auto" w:fill="ffffff"/>
        </w:rPr>
        <w:t xml:space="preserve">支出9.78万元，开支一般公共预算财政拨款的公务用车保有量为7辆。主要用于开展保护区各项工作所需车辆燃料费、维修费、过路过桥费、保险费等。</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2" w:left="0"/>
        <w:jc w:val="left"/>
        <w:rPr>
          <w:rFonts w:ascii="Times New Roman" w:hAnsi="Times New Roman" w:eastAsia="Times New Roman" w:cs="Times New Roman"/>
          <w:sz w:val="21"/>
          <w:szCs w:val="21"/>
        </w:rPr>
      </w:pPr>
      <w:r>
        <w:rPr>
          <w:rFonts w:ascii="仿宋" w:hAnsi="仿宋" w:eastAsia="仿宋" w:cs="仿宋"/>
          <w:b/>
          <w:bCs/>
          <w:sz w:val="30"/>
          <w:szCs w:val="30"/>
          <w:shd w:val="clear" w:color="auto" w:fill="ffffff"/>
        </w:rPr>
        <w:t xml:space="preserve">3.公务接待费</w:t>
      </w:r>
      <w:r>
        <w:rPr>
          <w:rFonts w:ascii="仿宋" w:hAnsi="仿宋" w:eastAsia="仿宋" w:cs="仿宋"/>
          <w:sz w:val="30"/>
          <w:szCs w:val="30"/>
          <w:shd w:val="clear" w:color="auto" w:fill="ffffff"/>
        </w:rPr>
        <w:t xml:space="preserve">支出2.44万元。其中：</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8"/>
        <w:pBdr/>
        <w:spacing w:after="0" w:before="0" w:line="600" w:lineRule="atLeast"/>
        <w:ind w:right="0" w:firstLine="600" w:left="0"/>
        <w:rPr/>
      </w:pPr>
      <w:r>
        <w:rPr>
          <w:rFonts w:ascii="仿宋" w:hAnsi="仿宋" w:eastAsia="仿宋" w:cs="仿宋"/>
          <w:b/>
          <w:bCs/>
          <w:sz w:val="30"/>
          <w:szCs w:val="30"/>
          <w:shd w:val="clear" w:color="auto" w:fill="ffffff"/>
        </w:rPr>
        <w:t xml:space="preserve">国内接待费</w:t>
      </w:r>
      <w:r>
        <w:rPr>
          <w:rFonts w:ascii="仿宋" w:hAnsi="仿宋" w:eastAsia="仿宋" w:cs="仿宋"/>
          <w:sz w:val="30"/>
          <w:szCs w:val="30"/>
          <w:shd w:val="clear" w:color="auto" w:fill="ffffff"/>
        </w:rPr>
        <w:t xml:space="preserve">支出2.44万元（其中：外事接待费支出0.00万元），共安排国内公务接待19批次（其中：外事接待0批次），接待人次181人（其中：外事接待人次0人）。</w:t>
      </w:r>
      <w:r>
        <w:rPr>
          <w:rFonts w:ascii="仿宋" w:hAnsi="仿宋" w:eastAsia="仿宋" w:cs="仿宋"/>
          <w:sz w:val="30"/>
          <w:szCs w:val="30"/>
        </w:rPr>
        <w:t xml:space="preserve">要用于接待国家林业和草原局、省林业和草原厅等相关部门到保护区检查指导工作；专家教授、科研友好合作单位；各兄弟保护区到白马雪山保护区学习考察指导工作；各媒体宣传部门的相关费用。</w:t>
      </w:r>
      <w:r/>
    </w:p>
    <w:p>
      <w:pPr>
        <w:pStyle w:val="629"/>
        <w:pBdr/>
        <w:spacing w:after="0" w:before="0" w:line="590" w:lineRule="atLeast"/>
        <w:ind w:right="0" w:firstLine="602" w:left="0"/>
        <w:rPr>
          <w:rFonts w:ascii="Times New Roman" w:hAnsi="Times New Roman" w:eastAsia="Times New Roman" w:cs="Times New Roman"/>
          <w:sz w:val="21"/>
          <w:szCs w:val="21"/>
        </w:rPr>
      </w:pPr>
      <w:r>
        <w:rPr>
          <w:rFonts w:ascii="仿宋" w:hAnsi="仿宋" w:eastAsia="仿宋" w:cs="仿宋"/>
          <w:b/>
          <w:bCs/>
          <w:sz w:val="30"/>
          <w:szCs w:val="30"/>
          <w:shd w:val="clear" w:color="auto" w:fill="ffffff"/>
        </w:rPr>
        <w:t xml:space="preserve">国（境）外接待费</w:t>
      </w:r>
      <w:r>
        <w:rPr>
          <w:rFonts w:ascii="仿宋" w:hAnsi="仿宋" w:eastAsia="仿宋" w:cs="仿宋"/>
          <w:sz w:val="30"/>
          <w:szCs w:val="30"/>
          <w:shd w:val="clear" w:color="auto" w:fill="ffffff"/>
        </w:rPr>
        <w:t xml:space="preserve">支出0.00万元，共安排国（境）外公务接待0批次，接待人次0人。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center"/>
        <w:rPr>
          <w:rFonts w:ascii="Times New Roman" w:hAnsi="Times New Roman" w:eastAsia="Times New Roman" w:cs="Times New Roman"/>
          <w:sz w:val="21"/>
          <w:szCs w:val="21"/>
        </w:rPr>
      </w:pPr>
      <w:r>
        <w:rPr>
          <w:rFonts w:ascii="黑体" w:hAnsi="黑体" w:eastAsia="黑体" w:cs="黑体"/>
          <w:sz w:val="32"/>
          <w:szCs w:val="32"/>
          <w:shd w:val="clear" w:color="auto" w:fill="ffffff"/>
        </w:rPr>
        <w:t xml:space="preserve">第四部分 </w:t>
      </w:r>
      <w:r>
        <w:rPr>
          <w:rFonts w:ascii="Calibri" w:hAnsi="Calibri" w:eastAsia="Calibri" w:cs="Calibri"/>
          <w:sz w:val="32"/>
          <w:szCs w:val="32"/>
          <w:shd w:val="clear" w:color="auto" w:fill="ffffff"/>
        </w:rPr>
        <w:t xml:space="preserve"> </w:t>
      </w:r>
      <w:r>
        <w:rPr>
          <w:rFonts w:ascii="黑体" w:hAnsi="黑体" w:eastAsia="黑体" w:cs="黑体"/>
          <w:sz w:val="32"/>
          <w:szCs w:val="32"/>
          <w:shd w:val="clear" w:color="auto" w:fill="ffffff"/>
        </w:rPr>
        <w:t xml:space="preserve">其他重要事项及相关口径情况说明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一、机关运行经费支出情况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迪庆藏族自治州云南白马雪山国家级自然保护区管护局部门2021年机关运行经费支出0.00万元。</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二、</w:t>
      </w:r>
      <w:r>
        <w:rPr>
          <w:rFonts w:ascii="黑体" w:hAnsi="黑体" w:eastAsia="黑体" w:cs="黑体"/>
          <w:color w:val="000000"/>
          <w:sz w:val="30"/>
          <w:szCs w:val="30"/>
          <w:shd w:val="clear" w:color="auto" w:fill="ffffff"/>
        </w:rPr>
        <w:t xml:space="preserve">国有资产占用情况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截至2021年</w:t>
      </w:r>
      <w:r>
        <w:rPr>
          <w:rFonts w:hint="eastAsia" w:ascii="仿宋" w:hAnsi="仿宋" w:eastAsia="仿宋" w:cs="仿宋"/>
          <w:sz w:val="30"/>
          <w:szCs w:val="30"/>
          <w:shd w:val="clear" w:color="auto" w:fill="ffffff"/>
          <w:lang w:val="en-US" w:eastAsia="zh-CN"/>
        </w:rPr>
        <w:t xml:space="preserve">1</w:t>
      </w:r>
      <w:r>
        <w:rPr>
          <w:rFonts w:ascii="仿宋" w:hAnsi="仿宋" w:eastAsia="仿宋" w:cs="仿宋"/>
          <w:sz w:val="30"/>
          <w:szCs w:val="30"/>
          <w:shd w:val="clear" w:color="auto" w:fill="ffffff"/>
        </w:rPr>
        <w:t xml:space="preserve">2月31日，</w:t>
      </w:r>
      <w:r>
        <w:rPr>
          <w:rFonts w:ascii="仿宋" w:hAnsi="仿宋" w:eastAsia="仿宋" w:cs="仿宋"/>
          <w:sz w:val="30"/>
          <w:szCs w:val="30"/>
          <w:shd w:val="clear" w:color="auto" w:fill="ffffff"/>
        </w:rPr>
        <w:t xml:space="preserve">迪庆藏族自治州云南白马雪山国家级自然保护区管护局部门资产总额</w:t>
      </w:r>
      <w:r>
        <w:rPr>
          <w:rFonts w:hint="eastAsia" w:ascii="仿宋" w:hAnsi="仿宋" w:eastAsia="仿宋" w:cs="仿宋"/>
          <w:sz w:val="30"/>
          <w:szCs w:val="30"/>
          <w:shd w:val="clear" w:color="auto" w:fill="ffffff"/>
          <w:lang w:val="en-US" w:eastAsia="zh-CN"/>
        </w:rPr>
        <w:t xml:space="preserve">4382.58</w:t>
      </w:r>
      <w:r>
        <w:rPr>
          <w:rFonts w:ascii="仿宋" w:hAnsi="仿宋" w:eastAsia="仿宋" w:cs="仿宋"/>
          <w:sz w:val="30"/>
          <w:szCs w:val="30"/>
          <w:shd w:val="clear" w:color="auto" w:fill="ffffff"/>
        </w:rPr>
        <w:t xml:space="preserve">万元，其中，流动资产132.78万元，固定资产2483.06万元，对外投资及有价证券0万元，在建工程1590.28元，无形资产176.46万元，其他资产0万元（具体内容详见附表）。与上年相比，本年资产总额增加减少579.52万元，其中固定资产增加169.47万元。处置房屋建筑物0平方米，账面原值0万元；处置车辆0辆，账面原值0万元；报废报损资产127项，账面原值70.78万元，实现资产处置收入0万元；出租房屋0平方米，账面原值0万元，实现资产使用收入0万元。</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Calibri" w:hAnsi="Calibri" w:eastAsia="Calibri" w:cs="Calibri"/>
          <w:color w:val="000000"/>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tbl>
      <w:tblPr>
        <w:tblStyle w:val="630"/>
        <w:tblW w:w="0" w:type="auto"/>
        <w:tblInd w:w="0" w:type="dxa"/>
        <w:tblBorders/>
        <w:tblLayout w:type="fixed"/>
        <w:tblCellMar>
          <w:left w:w="113" w:type="dxa"/>
          <w:top w:w="5" w:type="dxa"/>
          <w:right w:w="113" w:type="dxa"/>
          <w:bottom w:w="5" w:type="dxa"/>
        </w:tblCellMar>
        <w:tblLook w:val="04A0" w:firstRow="1" w:lastRow="0" w:firstColumn="1" w:lastColumn="0" w:noHBand="0" w:noVBand="1"/>
      </w:tblPr>
      <w:tblGrid>
        <w:gridCol w:w="463"/>
        <w:gridCol w:w="460"/>
        <w:gridCol w:w="865"/>
        <w:gridCol w:w="788"/>
        <w:gridCol w:w="865"/>
        <w:gridCol w:w="803"/>
        <w:gridCol w:w="774"/>
        <w:gridCol w:w="638"/>
        <w:gridCol w:w="865"/>
        <w:gridCol w:w="525"/>
        <w:gridCol w:w="865"/>
        <w:gridCol w:w="789"/>
        <w:gridCol w:w="476"/>
      </w:tblGrid>
      <w:tr>
        <w:trPr>
          <w:trHeight w:val="513"/>
        </w:trPr>
        <w:tc>
          <w:tcPr>
            <w:gridSpan w:val="13"/>
            <w:tcBorders>
              <w:top w:val="none" w:color="000000" w:sz="0" w:space="0"/>
              <w:left w:val="none" w:color="000000" w:sz="0" w:space="0"/>
              <w:bottom w:val="none" w:color="000000" w:sz="0" w:space="0"/>
              <w:right w:val="none" w:color="000000" w:sz="0" w:space="0"/>
            </w:tcBorders>
            <w:tcMar>
              <w:left w:w="113" w:type="dxa"/>
              <w:top w:w="5" w:type="dxa"/>
              <w:right w:w="113" w:type="dxa"/>
              <w:bottom w:w="5" w:type="dxa"/>
            </w:tcMar>
            <w:tcW w:w="9176"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bCs/>
                <w:i w:val="0"/>
                <w:iCs w:val="0"/>
                <w:smallCaps w:val="0"/>
                <w:color w:val="000000"/>
                <w:sz w:val="30"/>
                <w:szCs w:val="30"/>
              </w:rPr>
              <w:t xml:space="preserve">国有资产占有使用情况表</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r>
      <w:tr>
        <w:trPr>
          <w:trHeight w:val="253"/>
        </w:trPr>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463"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460"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865"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788"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865"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803"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774"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638"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865"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525"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865" w:type="dxa"/>
            <w:vAlign w:val="top"/>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gridSpan w:val="2"/>
            <w:tcBorders>
              <w:top w:val="none" w:color="000000" w:sz="0" w:space="0"/>
              <w:left w:val="none" w:color="000000" w:sz="0" w:space="0"/>
              <w:bottom w:val="single" w:color="000000" w:sz="8" w:space="0"/>
              <w:right w:val="none" w:color="000000" w:sz="0" w:space="0"/>
            </w:tcBorders>
            <w:tcMar>
              <w:left w:w="113" w:type="dxa"/>
              <w:top w:w="5" w:type="dxa"/>
              <w:right w:w="113" w:type="dxa"/>
              <w:bottom w:w="10" w:type="dxa"/>
            </w:tcMar>
            <w:tcW w:w="1265" w:type="dxa"/>
            <w:vAlign w:val="top"/>
            <w:textDirection w:val="lrTb"/>
            <w:noWrap w:val="false"/>
          </w:tcPr>
          <w:p>
            <w:pPr>
              <w:pStyle w:val="629"/>
              <w:pBdr/>
              <w:spacing w:after="0" w:before="0"/>
              <w:ind w:right="0" w:left="0"/>
              <w:jc w:val="right"/>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单位：万元</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r>
      <w:tr>
        <w:trPr>
          <w:trHeight w:val="477"/>
        </w:trPr>
        <w:tc>
          <w:tcPr>
            <w:tcBorders>
              <w:top w:val="none" w:color="000000" w:sz="0" w:space="0"/>
              <w:left w:val="single" w:color="000000" w:sz="8" w:space="0"/>
              <w:bottom w:val="single" w:color="000000" w:sz="8" w:space="0"/>
              <w:right w:val="single" w:color="000000" w:sz="8" w:space="0"/>
            </w:tcBorders>
            <w:tcMar>
              <w:left w:w="118" w:type="dxa"/>
              <w:top w:w="5" w:type="dxa"/>
              <w:right w:w="118" w:type="dxa"/>
              <w:bottom w:w="10" w:type="dxa"/>
            </w:tcMar>
            <w:tcW w:w="463" w:type="dxa"/>
            <w:vAlign w:val="center"/>
            <w:vMerge w:val="restart"/>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项目</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460" w:type="dxa"/>
            <w:vAlign w:val="center"/>
            <w:vMerge w:val="restart"/>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行次</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vMerge w:val="restart"/>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资产总额</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88" w:type="dxa"/>
            <w:vAlign w:val="center"/>
            <w:vMerge w:val="restart"/>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流动资产</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gridSpan w:val="5"/>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394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固定资产</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525" w:type="dxa"/>
            <w:vAlign w:val="center"/>
            <w:vMerge w:val="restart"/>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对外投资/有价证券</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vMerge w:val="restart"/>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在建工程</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89" w:type="dxa"/>
            <w:vAlign w:val="center"/>
            <w:vMerge w:val="restart"/>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无形资产</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476" w:type="dxa"/>
            <w:vAlign w:val="center"/>
            <w:vMerge w:val="restart"/>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其他资产</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r>
      <w:tr>
        <w:trPr>
          <w:trHeight w:val="780"/>
        </w:trPr>
        <w:tc>
          <w:tcPr>
            <w:tcBorders>
              <w:top w:val="none" w:color="000000" w:sz="0" w:space="0"/>
              <w:left w:val="single" w:color="000000" w:sz="8" w:space="0"/>
              <w:bottom w:val="single" w:color="000000" w:sz="8" w:space="0"/>
              <w:right w:val="single" w:color="000000" w:sz="8" w:space="0"/>
            </w:tcBorders>
            <w:tcW w:w="463" w:type="dxa"/>
            <w:vAlign w:val="center"/>
            <w:vMerge w:val="continue"/>
            <w:textDirection w:val="lrTb"/>
            <w:noWrap w:val="false"/>
          </w:tcPr>
          <w:p>
            <w:pPr>
              <w:pStyle w:val="616"/>
              <w:pBdr/>
              <w:spacing/>
              <w:ind/>
              <w:rPr>
                <w:rFonts w:ascii="仿宋" w:hAnsi="仿宋" w:eastAsia="仿宋" w:cs="仿宋"/>
                <w:b w:val="0"/>
                <w:bCs w:val="0"/>
                <w:i w:val="0"/>
                <w:iCs w:val="0"/>
                <w:smallCaps w:val="0"/>
                <w:color w:val="000000"/>
                <w:sz w:val="18"/>
                <w:szCs w:val="18"/>
              </w:rPr>
            </w:pPr>
            <w:r>
              <w:rPr>
                <w:rFonts w:ascii="仿宋" w:hAnsi="仿宋" w:eastAsia="仿宋" w:cs="仿宋"/>
                <w:b w:val="0"/>
                <w:bCs w:val="0"/>
                <w:i w:val="0"/>
                <w:iCs w:val="0"/>
                <w:smallCaps w:val="0"/>
                <w:color w:val="000000"/>
                <w:sz w:val="18"/>
                <w:szCs w:val="18"/>
              </w:rPr>
            </w:r>
            <w:r>
              <w:rPr>
                <w:rFonts w:ascii="仿宋" w:hAnsi="仿宋" w:eastAsia="仿宋" w:cs="仿宋"/>
                <w:b w:val="0"/>
                <w:bCs w:val="0"/>
                <w:i w:val="0"/>
                <w:iCs w:val="0"/>
                <w:smallCaps w:val="0"/>
                <w:color w:val="000000"/>
                <w:sz w:val="18"/>
                <w:szCs w:val="18"/>
              </w:rPr>
            </w:r>
          </w:p>
        </w:tc>
        <w:tc>
          <w:tcPr>
            <w:tcBorders>
              <w:top w:val="none" w:color="000000" w:sz="0" w:space="0"/>
              <w:left w:val="none" w:color="000000" w:sz="0" w:space="0"/>
              <w:bottom w:val="single" w:color="000000" w:sz="8" w:space="0"/>
              <w:right w:val="single" w:color="000000" w:sz="8" w:space="0"/>
            </w:tcBorders>
            <w:tcW w:w="460" w:type="dxa"/>
            <w:vAlign w:val="center"/>
            <w:vMerge w:val="continue"/>
            <w:textDirection w:val="lrTb"/>
            <w:noWrap w:val="false"/>
          </w:tcPr>
          <w:p>
            <w:pPr>
              <w:pStyle w:val="616"/>
              <w:pBdr/>
              <w:spacing/>
              <w:ind/>
              <w:rPr>
                <w:rFonts w:ascii="仿宋" w:hAnsi="仿宋" w:eastAsia="仿宋" w:cs="仿宋"/>
                <w:b w:val="0"/>
                <w:bCs w:val="0"/>
                <w:i w:val="0"/>
                <w:iCs w:val="0"/>
                <w:smallCaps w:val="0"/>
                <w:color w:val="000000"/>
                <w:sz w:val="18"/>
                <w:szCs w:val="18"/>
              </w:rPr>
            </w:pPr>
            <w:r>
              <w:rPr>
                <w:rFonts w:ascii="仿宋" w:hAnsi="仿宋" w:eastAsia="仿宋" w:cs="仿宋"/>
                <w:b w:val="0"/>
                <w:bCs w:val="0"/>
                <w:i w:val="0"/>
                <w:iCs w:val="0"/>
                <w:smallCaps w:val="0"/>
                <w:color w:val="000000"/>
                <w:sz w:val="18"/>
                <w:szCs w:val="18"/>
              </w:rPr>
            </w:r>
            <w:r>
              <w:rPr>
                <w:rFonts w:ascii="仿宋" w:hAnsi="仿宋" w:eastAsia="仿宋" w:cs="仿宋"/>
                <w:b w:val="0"/>
                <w:bCs w:val="0"/>
                <w:i w:val="0"/>
                <w:iCs w:val="0"/>
                <w:smallCaps w:val="0"/>
                <w:color w:val="000000"/>
                <w:sz w:val="18"/>
                <w:szCs w:val="18"/>
              </w:rPr>
            </w:r>
          </w:p>
        </w:tc>
        <w:tc>
          <w:tcPr>
            <w:tcBorders>
              <w:top w:val="none" w:color="000000" w:sz="0" w:space="0"/>
              <w:left w:val="none" w:color="000000" w:sz="0" w:space="0"/>
              <w:bottom w:val="single" w:color="000000" w:sz="8" w:space="0"/>
              <w:right w:val="single" w:color="000000" w:sz="8" w:space="0"/>
            </w:tcBorders>
            <w:tcW w:w="865" w:type="dxa"/>
            <w:vAlign w:val="center"/>
            <w:vMerge w:val="continue"/>
            <w:textDirection w:val="lrTb"/>
            <w:noWrap w:val="false"/>
          </w:tcPr>
          <w:p>
            <w:pPr>
              <w:pStyle w:val="616"/>
              <w:pBdr/>
              <w:spacing/>
              <w:ind/>
              <w:rPr>
                <w:rFonts w:ascii="仿宋" w:hAnsi="仿宋" w:eastAsia="仿宋" w:cs="仿宋"/>
                <w:b w:val="0"/>
                <w:bCs w:val="0"/>
                <w:i w:val="0"/>
                <w:iCs w:val="0"/>
                <w:smallCaps w:val="0"/>
                <w:color w:val="000000"/>
                <w:sz w:val="18"/>
                <w:szCs w:val="18"/>
              </w:rPr>
            </w:pPr>
            <w:r>
              <w:rPr>
                <w:rFonts w:ascii="仿宋" w:hAnsi="仿宋" w:eastAsia="仿宋" w:cs="仿宋"/>
                <w:b w:val="0"/>
                <w:bCs w:val="0"/>
                <w:i w:val="0"/>
                <w:iCs w:val="0"/>
                <w:smallCaps w:val="0"/>
                <w:color w:val="000000"/>
                <w:sz w:val="18"/>
                <w:szCs w:val="18"/>
              </w:rPr>
            </w:r>
            <w:r>
              <w:rPr>
                <w:rFonts w:ascii="仿宋" w:hAnsi="仿宋" w:eastAsia="仿宋" w:cs="仿宋"/>
                <w:b w:val="0"/>
                <w:bCs w:val="0"/>
                <w:i w:val="0"/>
                <w:iCs w:val="0"/>
                <w:smallCaps w:val="0"/>
                <w:color w:val="000000"/>
                <w:sz w:val="18"/>
                <w:szCs w:val="18"/>
              </w:rPr>
            </w:r>
          </w:p>
        </w:tc>
        <w:tc>
          <w:tcPr>
            <w:tcBorders>
              <w:top w:val="none" w:color="000000" w:sz="0" w:space="0"/>
              <w:left w:val="none" w:color="000000" w:sz="0" w:space="0"/>
              <w:bottom w:val="single" w:color="000000" w:sz="8" w:space="0"/>
              <w:right w:val="single" w:color="000000" w:sz="8" w:space="0"/>
            </w:tcBorders>
            <w:tcW w:w="788" w:type="dxa"/>
            <w:vAlign w:val="center"/>
            <w:vMerge w:val="continue"/>
            <w:textDirection w:val="lrTb"/>
            <w:noWrap w:val="false"/>
          </w:tcPr>
          <w:p>
            <w:pPr>
              <w:pStyle w:val="616"/>
              <w:pBdr/>
              <w:spacing/>
              <w:ind/>
              <w:rPr>
                <w:rFonts w:ascii="仿宋" w:hAnsi="仿宋" w:eastAsia="仿宋" w:cs="仿宋"/>
                <w:b w:val="0"/>
                <w:bCs w:val="0"/>
                <w:i w:val="0"/>
                <w:iCs w:val="0"/>
                <w:smallCaps w:val="0"/>
                <w:color w:val="000000"/>
                <w:sz w:val="18"/>
                <w:szCs w:val="18"/>
              </w:rPr>
            </w:pPr>
            <w:r>
              <w:rPr>
                <w:rFonts w:ascii="仿宋" w:hAnsi="仿宋" w:eastAsia="仿宋" w:cs="仿宋"/>
                <w:b w:val="0"/>
                <w:bCs w:val="0"/>
                <w:i w:val="0"/>
                <w:iCs w:val="0"/>
                <w:smallCaps w:val="0"/>
                <w:color w:val="000000"/>
                <w:sz w:val="18"/>
                <w:szCs w:val="18"/>
              </w:rPr>
            </w:r>
            <w:r>
              <w:rPr>
                <w:rFonts w:ascii="仿宋" w:hAnsi="仿宋" w:eastAsia="仿宋" w:cs="仿宋"/>
                <w:b w:val="0"/>
                <w:bCs w:val="0"/>
                <w:i w:val="0"/>
                <w:iCs w:val="0"/>
                <w:smallCaps w:val="0"/>
                <w:color w:val="000000"/>
                <w:sz w:val="18"/>
                <w:szCs w:val="18"/>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小计</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03"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房屋构筑物</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74"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车辆</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638"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单价200万以上大型设备</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其他固定资产</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W w:w="525" w:type="dxa"/>
            <w:vAlign w:val="center"/>
            <w:vMerge w:val="continue"/>
            <w:textDirection w:val="lrTb"/>
            <w:noWrap w:val="false"/>
          </w:tcPr>
          <w:p>
            <w:pPr>
              <w:pStyle w:val="616"/>
              <w:pBdr/>
              <w:spacing/>
              <w:ind/>
              <w:rPr>
                <w:rFonts w:ascii="仿宋" w:hAnsi="仿宋" w:eastAsia="仿宋" w:cs="仿宋"/>
                <w:b w:val="0"/>
                <w:bCs w:val="0"/>
                <w:i w:val="0"/>
                <w:iCs w:val="0"/>
                <w:smallCaps w:val="0"/>
                <w:color w:val="000000"/>
                <w:sz w:val="18"/>
                <w:szCs w:val="18"/>
              </w:rPr>
            </w:pPr>
            <w:r>
              <w:rPr>
                <w:rFonts w:ascii="仿宋" w:hAnsi="仿宋" w:eastAsia="仿宋" w:cs="仿宋"/>
                <w:b w:val="0"/>
                <w:bCs w:val="0"/>
                <w:i w:val="0"/>
                <w:iCs w:val="0"/>
                <w:smallCaps w:val="0"/>
                <w:color w:val="000000"/>
                <w:sz w:val="18"/>
                <w:szCs w:val="18"/>
              </w:rPr>
            </w:r>
            <w:r>
              <w:rPr>
                <w:rFonts w:ascii="仿宋" w:hAnsi="仿宋" w:eastAsia="仿宋" w:cs="仿宋"/>
                <w:b w:val="0"/>
                <w:bCs w:val="0"/>
                <w:i w:val="0"/>
                <w:iCs w:val="0"/>
                <w:smallCaps w:val="0"/>
                <w:color w:val="000000"/>
                <w:sz w:val="18"/>
                <w:szCs w:val="18"/>
              </w:rPr>
            </w:r>
          </w:p>
        </w:tc>
        <w:tc>
          <w:tcPr>
            <w:tcBorders>
              <w:top w:val="none" w:color="000000" w:sz="0" w:space="0"/>
              <w:left w:val="none" w:color="000000" w:sz="0" w:space="0"/>
              <w:bottom w:val="single" w:color="000000" w:sz="8" w:space="0"/>
              <w:right w:val="single" w:color="000000" w:sz="8" w:space="0"/>
            </w:tcBorders>
            <w:tcW w:w="865" w:type="dxa"/>
            <w:vAlign w:val="center"/>
            <w:vMerge w:val="continue"/>
            <w:textDirection w:val="lrTb"/>
            <w:noWrap w:val="false"/>
          </w:tcPr>
          <w:p>
            <w:pPr>
              <w:pStyle w:val="616"/>
              <w:pBdr/>
              <w:spacing/>
              <w:ind/>
              <w:rPr>
                <w:rFonts w:ascii="仿宋" w:hAnsi="仿宋" w:eastAsia="仿宋" w:cs="仿宋"/>
                <w:b w:val="0"/>
                <w:bCs w:val="0"/>
                <w:i w:val="0"/>
                <w:iCs w:val="0"/>
                <w:smallCaps w:val="0"/>
                <w:color w:val="000000"/>
                <w:sz w:val="18"/>
                <w:szCs w:val="18"/>
              </w:rPr>
            </w:pPr>
            <w:r>
              <w:rPr>
                <w:rFonts w:ascii="仿宋" w:hAnsi="仿宋" w:eastAsia="仿宋" w:cs="仿宋"/>
                <w:b w:val="0"/>
                <w:bCs w:val="0"/>
                <w:i w:val="0"/>
                <w:iCs w:val="0"/>
                <w:smallCaps w:val="0"/>
                <w:color w:val="000000"/>
                <w:sz w:val="18"/>
                <w:szCs w:val="18"/>
              </w:rPr>
            </w:r>
            <w:r>
              <w:rPr>
                <w:rFonts w:ascii="仿宋" w:hAnsi="仿宋" w:eastAsia="仿宋" w:cs="仿宋"/>
                <w:b w:val="0"/>
                <w:bCs w:val="0"/>
                <w:i w:val="0"/>
                <w:iCs w:val="0"/>
                <w:smallCaps w:val="0"/>
                <w:color w:val="000000"/>
                <w:sz w:val="18"/>
                <w:szCs w:val="18"/>
              </w:rPr>
            </w:r>
          </w:p>
        </w:tc>
        <w:tc>
          <w:tcPr>
            <w:tcBorders>
              <w:top w:val="none" w:color="000000" w:sz="0" w:space="0"/>
              <w:left w:val="none" w:color="000000" w:sz="0" w:space="0"/>
              <w:bottom w:val="single" w:color="000000" w:sz="8" w:space="0"/>
              <w:right w:val="single" w:color="000000" w:sz="8" w:space="0"/>
            </w:tcBorders>
            <w:tcW w:w="789" w:type="dxa"/>
            <w:vAlign w:val="center"/>
            <w:vMerge w:val="continue"/>
            <w:textDirection w:val="lrTb"/>
            <w:noWrap w:val="false"/>
          </w:tcPr>
          <w:p>
            <w:pPr>
              <w:pStyle w:val="616"/>
              <w:pBdr/>
              <w:spacing/>
              <w:ind/>
              <w:rPr>
                <w:rFonts w:ascii="仿宋" w:hAnsi="仿宋" w:eastAsia="仿宋" w:cs="仿宋"/>
                <w:b w:val="0"/>
                <w:bCs w:val="0"/>
                <w:i w:val="0"/>
                <w:iCs w:val="0"/>
                <w:smallCaps w:val="0"/>
                <w:color w:val="000000"/>
                <w:sz w:val="18"/>
                <w:szCs w:val="18"/>
              </w:rPr>
            </w:pPr>
            <w:r>
              <w:rPr>
                <w:rFonts w:ascii="仿宋" w:hAnsi="仿宋" w:eastAsia="仿宋" w:cs="仿宋"/>
                <w:b w:val="0"/>
                <w:bCs w:val="0"/>
                <w:i w:val="0"/>
                <w:iCs w:val="0"/>
                <w:smallCaps w:val="0"/>
                <w:color w:val="000000"/>
                <w:sz w:val="18"/>
                <w:szCs w:val="18"/>
              </w:rPr>
            </w:r>
            <w:r>
              <w:rPr>
                <w:rFonts w:ascii="仿宋" w:hAnsi="仿宋" w:eastAsia="仿宋" w:cs="仿宋"/>
                <w:b w:val="0"/>
                <w:bCs w:val="0"/>
                <w:i w:val="0"/>
                <w:iCs w:val="0"/>
                <w:smallCaps w:val="0"/>
                <w:color w:val="000000"/>
                <w:sz w:val="18"/>
                <w:szCs w:val="18"/>
              </w:rPr>
            </w:r>
          </w:p>
        </w:tc>
        <w:tc>
          <w:tcPr>
            <w:tcBorders>
              <w:top w:val="none" w:color="000000" w:sz="0" w:space="0"/>
              <w:left w:val="none" w:color="000000" w:sz="0" w:space="0"/>
              <w:bottom w:val="single" w:color="000000" w:sz="8" w:space="0"/>
              <w:right w:val="single" w:color="000000" w:sz="8" w:space="0"/>
            </w:tcBorders>
            <w:tcW w:w="476" w:type="dxa"/>
            <w:vAlign w:val="center"/>
            <w:vMerge w:val="continue"/>
            <w:textDirection w:val="lrTb"/>
            <w:noWrap w:val="false"/>
          </w:tcPr>
          <w:p>
            <w:pPr>
              <w:pStyle w:val="616"/>
              <w:pBdr/>
              <w:spacing/>
              <w:ind/>
              <w:rPr>
                <w:rFonts w:ascii="仿宋" w:hAnsi="仿宋" w:eastAsia="仿宋" w:cs="仿宋"/>
                <w:b w:val="0"/>
                <w:bCs w:val="0"/>
                <w:i w:val="0"/>
                <w:iCs w:val="0"/>
                <w:smallCaps w:val="0"/>
                <w:color w:val="000000"/>
                <w:sz w:val="18"/>
                <w:szCs w:val="18"/>
              </w:rPr>
            </w:pPr>
            <w:r>
              <w:rPr>
                <w:rFonts w:ascii="仿宋" w:hAnsi="仿宋" w:eastAsia="仿宋" w:cs="仿宋"/>
                <w:b w:val="0"/>
                <w:bCs w:val="0"/>
                <w:i w:val="0"/>
                <w:iCs w:val="0"/>
                <w:smallCaps w:val="0"/>
                <w:color w:val="000000"/>
                <w:sz w:val="18"/>
                <w:szCs w:val="18"/>
              </w:rPr>
            </w:r>
            <w:r>
              <w:rPr>
                <w:rFonts w:ascii="仿宋" w:hAnsi="仿宋" w:eastAsia="仿宋" w:cs="仿宋"/>
                <w:b w:val="0"/>
                <w:bCs w:val="0"/>
                <w:i w:val="0"/>
                <w:iCs w:val="0"/>
                <w:smallCaps w:val="0"/>
                <w:color w:val="000000"/>
                <w:sz w:val="18"/>
                <w:szCs w:val="18"/>
              </w:rPr>
            </w:r>
          </w:p>
        </w:tc>
      </w:tr>
      <w:tr>
        <w:trPr>
          <w:trHeight w:val="336"/>
        </w:trPr>
        <w:tc>
          <w:tcPr>
            <w:tcBorders>
              <w:top w:val="none" w:color="000000" w:sz="0" w:space="0"/>
              <w:left w:val="single" w:color="000000" w:sz="8" w:space="0"/>
              <w:bottom w:val="single" w:color="000000" w:sz="8" w:space="0"/>
              <w:right w:val="single" w:color="000000" w:sz="8" w:space="0"/>
            </w:tcBorders>
            <w:tcMar>
              <w:left w:w="118" w:type="dxa"/>
              <w:top w:w="5" w:type="dxa"/>
              <w:right w:w="118" w:type="dxa"/>
              <w:bottom w:w="10" w:type="dxa"/>
            </w:tcMar>
            <w:tcW w:w="463"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栏次</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460"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1</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88"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2</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3</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03"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4</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74"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5</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638"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6</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7</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52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8</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9</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89"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10</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476"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11</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r>
      <w:tr>
        <w:trPr>
          <w:trHeight w:val="451"/>
        </w:trPr>
        <w:tc>
          <w:tcPr>
            <w:tcBorders>
              <w:top w:val="none" w:color="000000" w:sz="0" w:space="0"/>
              <w:left w:val="single" w:color="000000" w:sz="8" w:space="0"/>
              <w:bottom w:val="single" w:color="000000" w:sz="8" w:space="0"/>
              <w:right w:val="single" w:color="000000" w:sz="8" w:space="0"/>
            </w:tcBorders>
            <w:tcMar>
              <w:left w:w="118" w:type="dxa"/>
              <w:top w:w="5" w:type="dxa"/>
              <w:right w:w="118" w:type="dxa"/>
              <w:bottom w:w="10" w:type="dxa"/>
            </w:tcMar>
            <w:tcW w:w="463"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合计</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460"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1</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宋体" w:cs="Times New Roman"/>
                <w:b w:val="0"/>
                <w:bCs w:val="0"/>
                <w:i w:val="0"/>
                <w:iCs w:val="0"/>
                <w:smallCaps w:val="0"/>
                <w:color w:val="000000"/>
                <w:sz w:val="21"/>
                <w:szCs w:val="21"/>
                <w:lang w:val="en-US" w:eastAsia="zh-CN"/>
              </w:rPr>
            </w:pPr>
            <w:r>
              <w:rPr>
                <w:rFonts w:hint="eastAsia" w:ascii="Calibri" w:hAnsi="Calibri" w:eastAsia="宋体" w:cs="Calibri"/>
                <w:b w:val="0"/>
                <w:bCs w:val="0"/>
                <w:i w:val="0"/>
                <w:iCs w:val="0"/>
                <w:smallCaps w:val="0"/>
                <w:color w:val="000000"/>
                <w:sz w:val="18"/>
                <w:szCs w:val="18"/>
                <w:lang w:val="en-US" w:eastAsia="zh-CN"/>
              </w:rPr>
              <w:t xml:space="preserve">4382.58</w:t>
            </w:r>
            <w:r>
              <w:rPr>
                <w:rFonts w:ascii="Times New Roman" w:hAnsi="Times New Roman" w:eastAsia="宋体" w:cs="Times New Roman"/>
                <w:b w:val="0"/>
                <w:bCs w:val="0"/>
                <w:i w:val="0"/>
                <w:iCs w:val="0"/>
                <w:smallCaps w:val="0"/>
                <w:color w:val="000000"/>
                <w:sz w:val="21"/>
                <w:szCs w:val="21"/>
                <w:lang w:val="en-US" w:eastAsia="zh-CN"/>
              </w:rPr>
            </w:r>
            <w:r>
              <w:rPr>
                <w:rFonts w:ascii="Times New Roman" w:hAnsi="Times New Roman" w:eastAsia="宋体" w:cs="Times New Roman"/>
                <w:b w:val="0"/>
                <w:bCs w:val="0"/>
                <w:i w:val="0"/>
                <w:iCs w:val="0"/>
                <w:smallCaps w:val="0"/>
                <w:color w:val="000000"/>
                <w:sz w:val="21"/>
                <w:szCs w:val="21"/>
                <w:lang w:val="en-US" w:eastAsia="zh-CN"/>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88" w:type="dxa"/>
            <w:vAlign w:val="center"/>
            <w:textDirection w:val="lrTb"/>
            <w:noWrap w:val="false"/>
          </w:tcPr>
          <w:p>
            <w:pPr>
              <w:pStyle w:val="629"/>
              <w:pBdr/>
              <w:spacing w:after="0" w:before="0"/>
              <w:ind w:right="0" w:left="0"/>
              <w:jc w:val="center"/>
              <w:rPr>
                <w:rFonts w:ascii="Times New Roman" w:hAnsi="Times New Roman" w:eastAsia="宋体" w:cs="Times New Roman"/>
                <w:b w:val="0"/>
                <w:bCs w:val="0"/>
                <w:i w:val="0"/>
                <w:iCs w:val="0"/>
                <w:smallCaps w:val="0"/>
                <w:color w:val="000000"/>
                <w:sz w:val="21"/>
                <w:szCs w:val="21"/>
                <w:lang w:val="en-US" w:eastAsia="zh-CN"/>
              </w:rPr>
            </w:pPr>
            <w:r>
              <w:rPr>
                <w:rFonts w:ascii="Calibri" w:hAnsi="Calibri" w:eastAsia="Calibri" w:cs="Calibri"/>
                <w:b w:val="0"/>
                <w:bCs w:val="0"/>
                <w:i w:val="0"/>
                <w:iCs w:val="0"/>
                <w:smallCaps w:val="0"/>
                <w:color w:val="000000"/>
                <w:sz w:val="18"/>
                <w:szCs w:val="18"/>
              </w:rPr>
              <w:t xml:space="preserve"> </w:t>
            </w:r>
            <w:r>
              <w:rPr>
                <w:rFonts w:hint="eastAsia" w:ascii="Calibri" w:hAnsi="Calibri" w:eastAsia="宋体" w:cs="Calibri"/>
                <w:b w:val="0"/>
                <w:bCs w:val="0"/>
                <w:i w:val="0"/>
                <w:iCs w:val="0"/>
                <w:smallCaps w:val="0"/>
                <w:color w:val="000000"/>
                <w:sz w:val="18"/>
                <w:szCs w:val="18"/>
                <w:lang w:val="en-US" w:eastAsia="zh-CN"/>
              </w:rPr>
              <w:t xml:space="preserve">132.78</w:t>
            </w:r>
            <w:r>
              <w:rPr>
                <w:rFonts w:ascii="Times New Roman" w:hAnsi="Times New Roman" w:eastAsia="宋体" w:cs="Times New Roman"/>
                <w:b w:val="0"/>
                <w:bCs w:val="0"/>
                <w:i w:val="0"/>
                <w:iCs w:val="0"/>
                <w:smallCaps w:val="0"/>
                <w:color w:val="000000"/>
                <w:sz w:val="21"/>
                <w:szCs w:val="21"/>
                <w:lang w:val="en-US" w:eastAsia="zh-CN"/>
              </w:rPr>
            </w:r>
            <w:r>
              <w:rPr>
                <w:rFonts w:ascii="Times New Roman" w:hAnsi="Times New Roman" w:eastAsia="宋体" w:cs="Times New Roman"/>
                <w:b w:val="0"/>
                <w:bCs w:val="0"/>
                <w:i w:val="0"/>
                <w:iCs w:val="0"/>
                <w:smallCaps w:val="0"/>
                <w:color w:val="000000"/>
                <w:sz w:val="21"/>
                <w:szCs w:val="21"/>
                <w:lang w:val="en-US" w:eastAsia="zh-CN"/>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hint="eastAsia" w:ascii="Calibri" w:hAnsi="Calibri" w:eastAsia="宋体" w:cs="Calibri"/>
                <w:b w:val="0"/>
                <w:bCs w:val="0"/>
                <w:i w:val="0"/>
                <w:iCs w:val="0"/>
                <w:smallCaps w:val="0"/>
                <w:color w:val="000000"/>
                <w:sz w:val="18"/>
                <w:szCs w:val="18"/>
                <w:lang w:val="en-US" w:eastAsia="zh-CN"/>
              </w:rPr>
              <w:t xml:space="preserve">2483.06</w:t>
            </w: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03" w:type="dxa"/>
            <w:vAlign w:val="center"/>
            <w:textDirection w:val="lrTb"/>
            <w:noWrap w:val="false"/>
          </w:tcPr>
          <w:p>
            <w:pPr>
              <w:pStyle w:val="629"/>
              <w:pBdr/>
              <w:spacing w:after="0" w:before="0"/>
              <w:ind w:right="0" w:left="0"/>
              <w:jc w:val="center"/>
              <w:rPr>
                <w:rFonts w:ascii="Times New Roman" w:hAnsi="Times New Roman" w:eastAsia="宋体" w:cs="Times New Roman"/>
                <w:b w:val="0"/>
                <w:bCs w:val="0"/>
                <w:i w:val="0"/>
                <w:iCs w:val="0"/>
                <w:smallCaps w:val="0"/>
                <w:color w:val="000000"/>
                <w:sz w:val="21"/>
                <w:szCs w:val="21"/>
                <w:lang w:val="en-US" w:eastAsia="zh-CN"/>
              </w:rPr>
            </w:pPr>
            <w:r>
              <w:rPr>
                <w:rFonts w:ascii="Calibri" w:hAnsi="Calibri" w:eastAsia="Calibri" w:cs="Calibri"/>
                <w:b w:val="0"/>
                <w:bCs w:val="0"/>
                <w:i w:val="0"/>
                <w:iCs w:val="0"/>
                <w:smallCaps w:val="0"/>
                <w:color w:val="000000"/>
                <w:sz w:val="18"/>
                <w:szCs w:val="18"/>
              </w:rPr>
              <w:t xml:space="preserve"> </w:t>
            </w:r>
            <w:r>
              <w:rPr>
                <w:rFonts w:hint="eastAsia" w:ascii="Calibri" w:hAnsi="Calibri" w:eastAsia="宋体" w:cs="Calibri"/>
                <w:b w:val="0"/>
                <w:bCs w:val="0"/>
                <w:i w:val="0"/>
                <w:iCs w:val="0"/>
                <w:smallCaps w:val="0"/>
                <w:color w:val="000000"/>
                <w:sz w:val="18"/>
                <w:szCs w:val="18"/>
                <w:lang w:val="en-US" w:eastAsia="zh-CN"/>
              </w:rPr>
              <w:t xml:space="preserve">176.04</w:t>
            </w:r>
            <w:r>
              <w:rPr>
                <w:rFonts w:ascii="Times New Roman" w:hAnsi="Times New Roman" w:eastAsia="宋体" w:cs="Times New Roman"/>
                <w:b w:val="0"/>
                <w:bCs w:val="0"/>
                <w:i w:val="0"/>
                <w:iCs w:val="0"/>
                <w:smallCaps w:val="0"/>
                <w:color w:val="000000"/>
                <w:sz w:val="21"/>
                <w:szCs w:val="21"/>
                <w:lang w:val="en-US" w:eastAsia="zh-CN"/>
              </w:rPr>
            </w:r>
            <w:r>
              <w:rPr>
                <w:rFonts w:ascii="Times New Roman" w:hAnsi="Times New Roman" w:eastAsia="宋体" w:cs="Times New Roman"/>
                <w:b w:val="0"/>
                <w:bCs w:val="0"/>
                <w:i w:val="0"/>
                <w:iCs w:val="0"/>
                <w:smallCaps w:val="0"/>
                <w:color w:val="000000"/>
                <w:sz w:val="21"/>
                <w:szCs w:val="21"/>
                <w:lang w:val="en-US" w:eastAsia="zh-CN"/>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74" w:type="dxa"/>
            <w:vAlign w:val="center"/>
            <w:textDirection w:val="lrTb"/>
            <w:noWrap w:val="false"/>
          </w:tcPr>
          <w:p>
            <w:pPr>
              <w:pStyle w:val="629"/>
              <w:pBdr/>
              <w:spacing w:after="0" w:before="0"/>
              <w:ind w:right="0" w:left="0"/>
              <w:jc w:val="center"/>
              <w:rPr>
                <w:rFonts w:ascii="Times New Roman" w:hAnsi="Times New Roman" w:eastAsia="宋体" w:cs="Times New Roman"/>
                <w:b w:val="0"/>
                <w:bCs w:val="0"/>
                <w:i w:val="0"/>
                <w:iCs w:val="0"/>
                <w:smallCaps w:val="0"/>
                <w:color w:val="000000"/>
                <w:sz w:val="21"/>
                <w:szCs w:val="21"/>
                <w:lang w:val="en-US" w:eastAsia="zh-CN"/>
              </w:rPr>
            </w:pPr>
            <w:r>
              <w:rPr>
                <w:rFonts w:ascii="Calibri" w:hAnsi="Calibri" w:eastAsia="Calibri" w:cs="Calibri"/>
                <w:b w:val="0"/>
                <w:bCs w:val="0"/>
                <w:i w:val="0"/>
                <w:iCs w:val="0"/>
                <w:smallCaps w:val="0"/>
                <w:color w:val="000000"/>
                <w:sz w:val="18"/>
                <w:szCs w:val="18"/>
              </w:rPr>
              <w:t xml:space="preserve"> </w:t>
            </w:r>
            <w:r>
              <w:rPr>
                <w:rFonts w:hint="eastAsia" w:ascii="Calibri" w:hAnsi="Calibri" w:eastAsia="宋体" w:cs="Calibri"/>
                <w:b w:val="0"/>
                <w:bCs w:val="0"/>
                <w:i w:val="0"/>
                <w:iCs w:val="0"/>
                <w:smallCaps w:val="0"/>
                <w:color w:val="000000"/>
                <w:sz w:val="18"/>
                <w:szCs w:val="18"/>
                <w:lang w:val="en-US" w:eastAsia="zh-CN"/>
              </w:rPr>
              <w:t xml:space="preserve">195.66</w:t>
            </w:r>
            <w:r>
              <w:rPr>
                <w:rFonts w:ascii="Times New Roman" w:hAnsi="Times New Roman" w:eastAsia="宋体" w:cs="Times New Roman"/>
                <w:b w:val="0"/>
                <w:bCs w:val="0"/>
                <w:i w:val="0"/>
                <w:iCs w:val="0"/>
                <w:smallCaps w:val="0"/>
                <w:color w:val="000000"/>
                <w:sz w:val="21"/>
                <w:szCs w:val="21"/>
                <w:lang w:val="en-US" w:eastAsia="zh-CN"/>
              </w:rPr>
            </w:r>
            <w:r>
              <w:rPr>
                <w:rFonts w:ascii="Times New Roman" w:hAnsi="Times New Roman" w:eastAsia="宋体" w:cs="Times New Roman"/>
                <w:b w:val="0"/>
                <w:bCs w:val="0"/>
                <w:i w:val="0"/>
                <w:iCs w:val="0"/>
                <w:smallCaps w:val="0"/>
                <w:color w:val="000000"/>
                <w:sz w:val="21"/>
                <w:szCs w:val="21"/>
                <w:lang w:val="en-US" w:eastAsia="zh-CN"/>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638"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宋体" w:cs="Times New Roman"/>
                <w:b w:val="0"/>
                <w:bCs w:val="0"/>
                <w:i w:val="0"/>
                <w:iCs w:val="0"/>
                <w:smallCaps w:val="0"/>
                <w:color w:val="000000"/>
                <w:sz w:val="21"/>
                <w:szCs w:val="21"/>
                <w:lang w:val="en-US" w:eastAsia="zh-CN"/>
              </w:rPr>
            </w:pPr>
            <w:r>
              <w:rPr>
                <w:rFonts w:ascii="Calibri" w:hAnsi="Calibri" w:eastAsia="Calibri" w:cs="Calibri"/>
                <w:b w:val="0"/>
                <w:bCs w:val="0"/>
                <w:i w:val="0"/>
                <w:iCs w:val="0"/>
                <w:smallCaps w:val="0"/>
                <w:color w:val="000000"/>
                <w:sz w:val="18"/>
                <w:szCs w:val="18"/>
              </w:rPr>
              <w:t xml:space="preserve"> </w:t>
            </w:r>
            <w:r>
              <w:rPr>
                <w:rFonts w:hint="eastAsia" w:ascii="Calibri" w:hAnsi="Calibri" w:eastAsia="宋体" w:cs="Calibri"/>
                <w:b w:val="0"/>
                <w:bCs w:val="0"/>
                <w:i w:val="0"/>
                <w:iCs w:val="0"/>
                <w:smallCaps w:val="0"/>
                <w:color w:val="000000"/>
                <w:sz w:val="18"/>
                <w:szCs w:val="18"/>
                <w:lang w:val="en-US" w:eastAsia="zh-CN"/>
              </w:rPr>
              <w:t xml:space="preserve">2111.36</w:t>
            </w:r>
            <w:r>
              <w:rPr>
                <w:rFonts w:ascii="Times New Roman" w:hAnsi="Times New Roman" w:eastAsia="宋体" w:cs="Times New Roman"/>
                <w:b w:val="0"/>
                <w:bCs w:val="0"/>
                <w:i w:val="0"/>
                <w:iCs w:val="0"/>
                <w:smallCaps w:val="0"/>
                <w:color w:val="000000"/>
                <w:sz w:val="21"/>
                <w:szCs w:val="21"/>
                <w:lang w:val="en-US" w:eastAsia="zh-CN"/>
              </w:rPr>
            </w:r>
            <w:r>
              <w:rPr>
                <w:rFonts w:ascii="Times New Roman" w:hAnsi="Times New Roman" w:eastAsia="宋体" w:cs="Times New Roman"/>
                <w:b w:val="0"/>
                <w:bCs w:val="0"/>
                <w:i w:val="0"/>
                <w:iCs w:val="0"/>
                <w:smallCaps w:val="0"/>
                <w:color w:val="000000"/>
                <w:sz w:val="21"/>
                <w:szCs w:val="21"/>
                <w:lang w:val="en-US" w:eastAsia="zh-CN"/>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525"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865" w:type="dxa"/>
            <w:vAlign w:val="center"/>
            <w:textDirection w:val="lrTb"/>
            <w:noWrap w:val="false"/>
          </w:tcPr>
          <w:p>
            <w:pPr>
              <w:pStyle w:val="629"/>
              <w:pBdr/>
              <w:spacing w:after="0" w:before="0"/>
              <w:ind w:right="0" w:left="0"/>
              <w:jc w:val="center"/>
              <w:rPr>
                <w:rFonts w:ascii="Times New Roman" w:hAnsi="Times New Roman" w:eastAsia="宋体" w:cs="Times New Roman"/>
                <w:b w:val="0"/>
                <w:bCs w:val="0"/>
                <w:i w:val="0"/>
                <w:iCs w:val="0"/>
                <w:smallCaps w:val="0"/>
                <w:color w:val="000000"/>
                <w:sz w:val="21"/>
                <w:szCs w:val="21"/>
                <w:lang w:val="en-US" w:eastAsia="zh-CN"/>
              </w:rPr>
            </w:pPr>
            <w:r>
              <w:rPr>
                <w:rFonts w:ascii="Calibri" w:hAnsi="Calibri" w:eastAsia="Calibri" w:cs="Calibri"/>
                <w:b w:val="0"/>
                <w:bCs w:val="0"/>
                <w:i w:val="0"/>
                <w:iCs w:val="0"/>
                <w:smallCaps w:val="0"/>
                <w:color w:val="000000"/>
                <w:sz w:val="18"/>
                <w:szCs w:val="18"/>
              </w:rPr>
              <w:t xml:space="preserve"> </w:t>
            </w:r>
            <w:r>
              <w:rPr>
                <w:rFonts w:hint="eastAsia" w:ascii="Calibri" w:hAnsi="Calibri" w:eastAsia="宋体" w:cs="Calibri"/>
                <w:b w:val="0"/>
                <w:bCs w:val="0"/>
                <w:i w:val="0"/>
                <w:iCs w:val="0"/>
                <w:smallCaps w:val="0"/>
                <w:color w:val="000000"/>
                <w:sz w:val="18"/>
                <w:szCs w:val="18"/>
                <w:lang w:val="en-US" w:eastAsia="zh-CN"/>
              </w:rPr>
              <w:t xml:space="preserve">1590.28</w:t>
            </w:r>
            <w:r>
              <w:rPr>
                <w:rFonts w:ascii="Times New Roman" w:hAnsi="Times New Roman" w:eastAsia="宋体" w:cs="Times New Roman"/>
                <w:b w:val="0"/>
                <w:bCs w:val="0"/>
                <w:i w:val="0"/>
                <w:iCs w:val="0"/>
                <w:smallCaps w:val="0"/>
                <w:color w:val="000000"/>
                <w:sz w:val="21"/>
                <w:szCs w:val="21"/>
                <w:lang w:val="en-US" w:eastAsia="zh-CN"/>
              </w:rPr>
            </w:r>
            <w:r>
              <w:rPr>
                <w:rFonts w:ascii="Times New Roman" w:hAnsi="Times New Roman" w:eastAsia="宋体" w:cs="Times New Roman"/>
                <w:b w:val="0"/>
                <w:bCs w:val="0"/>
                <w:i w:val="0"/>
                <w:iCs w:val="0"/>
                <w:smallCaps w:val="0"/>
                <w:color w:val="000000"/>
                <w:sz w:val="21"/>
                <w:szCs w:val="21"/>
                <w:lang w:val="en-US" w:eastAsia="zh-CN"/>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789" w:type="dxa"/>
            <w:vAlign w:val="center"/>
            <w:textDirection w:val="lrTb"/>
            <w:noWrap w:val="false"/>
          </w:tcPr>
          <w:p>
            <w:pPr>
              <w:pStyle w:val="629"/>
              <w:pBdr/>
              <w:spacing w:after="0" w:before="0"/>
              <w:ind w:right="0" w:left="0"/>
              <w:jc w:val="center"/>
              <w:rPr>
                <w:rFonts w:ascii="Times New Roman" w:hAnsi="Times New Roman" w:eastAsia="宋体" w:cs="Times New Roman"/>
                <w:b w:val="0"/>
                <w:bCs w:val="0"/>
                <w:i w:val="0"/>
                <w:iCs w:val="0"/>
                <w:smallCaps w:val="0"/>
                <w:color w:val="000000"/>
                <w:sz w:val="21"/>
                <w:szCs w:val="21"/>
                <w:lang w:val="en-US" w:eastAsia="zh-CN"/>
              </w:rPr>
            </w:pPr>
            <w:r>
              <w:rPr>
                <w:rFonts w:ascii="Calibri" w:hAnsi="Calibri" w:eastAsia="Calibri" w:cs="Calibri"/>
                <w:b w:val="0"/>
                <w:bCs w:val="0"/>
                <w:i w:val="0"/>
                <w:iCs w:val="0"/>
                <w:smallCaps w:val="0"/>
                <w:color w:val="000000"/>
                <w:sz w:val="18"/>
                <w:szCs w:val="18"/>
              </w:rPr>
              <w:t xml:space="preserve"> </w:t>
            </w:r>
            <w:r>
              <w:rPr>
                <w:rFonts w:hint="eastAsia" w:ascii="Calibri" w:hAnsi="Calibri" w:eastAsia="宋体" w:cs="Calibri"/>
                <w:b w:val="0"/>
                <w:bCs w:val="0"/>
                <w:i w:val="0"/>
                <w:iCs w:val="0"/>
                <w:smallCaps w:val="0"/>
                <w:color w:val="000000"/>
                <w:sz w:val="18"/>
                <w:szCs w:val="18"/>
                <w:lang w:val="en-US" w:eastAsia="zh-CN"/>
              </w:rPr>
              <w:t xml:space="preserve">176.46</w:t>
            </w:r>
            <w:r>
              <w:rPr>
                <w:rFonts w:ascii="Times New Roman" w:hAnsi="Times New Roman" w:eastAsia="宋体" w:cs="Times New Roman"/>
                <w:b w:val="0"/>
                <w:bCs w:val="0"/>
                <w:i w:val="0"/>
                <w:iCs w:val="0"/>
                <w:smallCaps w:val="0"/>
                <w:color w:val="000000"/>
                <w:sz w:val="21"/>
                <w:szCs w:val="21"/>
                <w:lang w:val="en-US" w:eastAsia="zh-CN"/>
              </w:rPr>
            </w:r>
            <w:r>
              <w:rPr>
                <w:rFonts w:ascii="Times New Roman" w:hAnsi="Times New Roman" w:eastAsia="宋体" w:cs="Times New Roman"/>
                <w:b w:val="0"/>
                <w:bCs w:val="0"/>
                <w:i w:val="0"/>
                <w:iCs w:val="0"/>
                <w:smallCaps w:val="0"/>
                <w:color w:val="000000"/>
                <w:sz w:val="21"/>
                <w:szCs w:val="21"/>
                <w:lang w:val="en-US" w:eastAsia="zh-CN"/>
              </w:rPr>
            </w:r>
          </w:p>
        </w:tc>
        <w:tc>
          <w:tcPr>
            <w:tcBorders>
              <w:top w:val="none" w:color="000000" w:sz="0" w:space="0"/>
              <w:left w:val="none" w:color="000000" w:sz="0" w:space="0"/>
              <w:bottom w:val="single" w:color="000000" w:sz="8" w:space="0"/>
              <w:right w:val="single" w:color="000000" w:sz="8" w:space="0"/>
            </w:tcBorders>
            <w:tcMar>
              <w:left w:w="113" w:type="dxa"/>
              <w:top w:w="5" w:type="dxa"/>
              <w:right w:w="118" w:type="dxa"/>
              <w:bottom w:w="10" w:type="dxa"/>
            </w:tcMar>
            <w:tcW w:w="476" w:type="dxa"/>
            <w:vAlign w:val="center"/>
            <w:textDirection w:val="lrTb"/>
            <w:noWrap w:val="false"/>
          </w:tcPr>
          <w:p>
            <w:pPr>
              <w:pStyle w:val="629"/>
              <w:pBdr/>
              <w:spacing w:after="0" w:before="0"/>
              <w:ind w:right="0" w:left="0"/>
              <w:jc w:val="center"/>
              <w:rPr>
                <w:rFonts w:ascii="Times New Roman" w:hAnsi="Times New Roman" w:eastAsia="Times New Roman" w:cs="Times New Roman"/>
                <w:b w:val="0"/>
                <w:bCs w:val="0"/>
                <w:i w:val="0"/>
                <w:iCs w:val="0"/>
                <w:smallCaps w:val="0"/>
                <w:color w:val="000000"/>
                <w:sz w:val="21"/>
                <w:szCs w:val="21"/>
              </w:rPr>
            </w:pPr>
            <w:r>
              <w:rPr>
                <w:rFonts w:ascii="Calibri" w:hAnsi="Calibri" w:eastAsia="Calibri" w:cs="Calibri"/>
                <w:b w:val="0"/>
                <w:bCs w:val="0"/>
                <w:i w:val="0"/>
                <w:iCs w:val="0"/>
                <w:smallCaps w:val="0"/>
                <w:color w:val="000000"/>
                <w:sz w:val="18"/>
                <w:szCs w:val="18"/>
              </w:rPr>
              <w:t xml:space="preserve"> </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r>
      <w:tr>
        <w:trPr>
          <w:trHeight w:val="451"/>
        </w:trPr>
        <w:tc>
          <w:tcPr>
            <w:gridSpan w:val="13"/>
            <w:tcBorders>
              <w:top w:val="none" w:color="000000" w:sz="0" w:space="0"/>
              <w:left w:val="single" w:color="000000" w:sz="8" w:space="0"/>
              <w:bottom w:val="single" w:color="000000" w:sz="8" w:space="0"/>
              <w:right w:val="single" w:color="000000" w:sz="8" w:space="0"/>
            </w:tcBorders>
            <w:tcMar>
              <w:left w:w="118" w:type="dxa"/>
              <w:top w:w="5" w:type="dxa"/>
              <w:right w:w="118" w:type="dxa"/>
              <w:bottom w:w="10" w:type="dxa"/>
            </w:tcMar>
            <w:tcW w:w="9176" w:type="dxa"/>
            <w:vAlign w:val="center"/>
            <w:textDirection w:val="lrTb"/>
            <w:noWrap w:val="false"/>
          </w:tcPr>
          <w:p>
            <w:pPr>
              <w:pStyle w:val="629"/>
              <w:pBdr/>
              <w:spacing w:after="0" w:before="0"/>
              <w:ind w:right="0" w:left="0"/>
              <w:jc w:val="left"/>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填报说明：1.资产总额=流动资产+固定资产+对外投资/有价证券+在建工程+无形资产+其他资产；</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p>
            <w:pPr>
              <w:pStyle w:val="629"/>
              <w:pBdr/>
              <w:spacing w:after="0" w:before="0"/>
              <w:ind w:right="0" w:left="900"/>
              <w:jc w:val="left"/>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2.固定资产=房屋构筑物+车辆+单价200万元以上大型设备+其他固定资产；</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p>
            <w:pPr>
              <w:pStyle w:val="629"/>
              <w:pBdr/>
              <w:spacing w:after="0" w:before="0"/>
              <w:ind w:right="0" w:left="900"/>
              <w:jc w:val="left"/>
              <w:rPr>
                <w:rFonts w:ascii="Times New Roman" w:hAnsi="Times New Roman" w:eastAsia="Times New Roman" w:cs="Times New Roman"/>
                <w:b w:val="0"/>
                <w:bCs w:val="0"/>
                <w:i w:val="0"/>
                <w:iCs w:val="0"/>
                <w:smallCaps w:val="0"/>
                <w:color w:val="000000"/>
                <w:sz w:val="21"/>
                <w:szCs w:val="21"/>
              </w:rPr>
            </w:pPr>
            <w:r>
              <w:rPr>
                <w:rFonts w:ascii="仿宋" w:hAnsi="仿宋" w:eastAsia="仿宋" w:cs="仿宋"/>
                <w:b w:val="0"/>
                <w:bCs w:val="0"/>
                <w:i w:val="0"/>
                <w:iCs w:val="0"/>
                <w:smallCaps w:val="0"/>
                <w:color w:val="000000"/>
                <w:sz w:val="18"/>
                <w:szCs w:val="18"/>
              </w:rPr>
              <w:t xml:space="preserve">3.填报金额为资产“账面原值”。</w:t>
            </w:r>
            <w:r>
              <w:rPr>
                <w:rFonts w:ascii="Times New Roman" w:hAnsi="Times New Roman" w:eastAsia="Times New Roman" w:cs="Times New Roman"/>
                <w:b w:val="0"/>
                <w:bCs w:val="0"/>
                <w:i w:val="0"/>
                <w:iCs w:val="0"/>
                <w:smallCaps w:val="0"/>
                <w:color w:val="000000"/>
                <w:sz w:val="21"/>
                <w:szCs w:val="21"/>
              </w:rPr>
            </w:r>
            <w:r>
              <w:rPr>
                <w:rFonts w:ascii="Times New Roman" w:hAnsi="Times New Roman" w:eastAsia="Times New Roman" w:cs="Times New Roman"/>
                <w:b w:val="0"/>
                <w:bCs w:val="0"/>
                <w:i w:val="0"/>
                <w:iCs w:val="0"/>
                <w:smallCaps w:val="0"/>
                <w:color w:val="000000"/>
                <w:sz w:val="21"/>
                <w:szCs w:val="21"/>
              </w:rPr>
            </w:r>
          </w:p>
        </w:tc>
      </w:tr>
    </w:tbl>
    <w:p>
      <w:pPr>
        <w:pStyle w:val="629"/>
        <w:pBdr/>
        <w:spacing w:after="0" w:before="0"/>
        <w:ind w:right="0" w:firstLine="600" w:left="0"/>
        <w:jc w:val="center"/>
        <w:rPr>
          <w:rFonts w:ascii="Times New Roman" w:hAnsi="Times New Roman" w:eastAsia="Times New Roman" w:cs="Times New Roman"/>
          <w:sz w:val="21"/>
          <w:szCs w:val="21"/>
        </w:rPr>
      </w:pPr>
      <w:r>
        <w:rPr>
          <w:rFonts w:ascii="宋体" w:hAnsi="宋体" w:eastAsia="宋体" w:cs="宋体"/>
          <w:sz w:val="18"/>
          <w:szCs w:val="18"/>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firstLine="600" w:left="0"/>
        <w:jc w:val="center"/>
        <w:rPr>
          <w:rFonts w:ascii="Times New Roman" w:hAnsi="Times New Roman" w:eastAsia="Times New Roman" w:cs="Times New Roman"/>
          <w:sz w:val="21"/>
          <w:szCs w:val="21"/>
        </w:rPr>
      </w:pPr>
      <w:r>
        <w:rPr>
          <w:rFonts w:ascii="Calibri" w:hAnsi="Calibri" w:eastAsia="Calibri" w:cs="Calibri"/>
          <w:color w:val="000000"/>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left"/>
        <w:rPr>
          <w:rFonts w:ascii="Times New Roman" w:hAnsi="Times New Roman" w:eastAsia="Times New Roman" w:cs="Times New Roman"/>
          <w:sz w:val="21"/>
          <w:szCs w:val="21"/>
        </w:rPr>
      </w:pPr>
      <w:r>
        <w:rPr>
          <w:rFonts w:ascii="Calibri" w:hAnsi="Calibri" w:eastAsia="Calibri" w:cs="Calibri"/>
          <w:sz w:val="30"/>
          <w:szCs w:val="30"/>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三、政府采购支出情况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2021年度，部门政府采购支出总额30.27万元，其中：政府采购货物支出30.27万元；政府采购工程支出0万元；政府采购服务支出0万元。授予中小企业合同金额0万元，占政府采购支出总额的0%。</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color w:val="000000"/>
          <w:sz w:val="30"/>
          <w:szCs w:val="30"/>
          <w:shd w:val="clear" w:color="auto" w:fill="ffffff"/>
        </w:rPr>
        <w:t xml:space="preserve">四、</w:t>
      </w:r>
      <w:r>
        <w:rPr>
          <w:rFonts w:ascii="黑体" w:hAnsi="黑体" w:eastAsia="黑体" w:cs="黑体"/>
          <w:sz w:val="30"/>
          <w:szCs w:val="30"/>
          <w:shd w:val="clear" w:color="auto" w:fill="ffffff"/>
        </w:rPr>
        <w:t xml:space="preserve">部门绩效自评情况</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部门绩效自评情况详见附表（附表10-附表12）。</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五、其他重要事项情况说明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无</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黑体" w:hAnsi="黑体" w:eastAsia="黑体" w:cs="黑体"/>
          <w:sz w:val="30"/>
          <w:szCs w:val="30"/>
          <w:shd w:val="clear" w:color="auto" w:fill="ffffff"/>
        </w:rPr>
        <w:t xml:space="preserve">六、相关口径说明</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（一）基本支出中人员经费包括工资福利支出和对个人和家庭的补助，公用经费包括商品和服务支出、资本性支出等人员经费以外的支出。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（二）机关运行经费指行政单位和参照公务员法管理的事业单位使用一般公共预算财政拨款安排的基本支出中的公用经费支出。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（三）按照党中央、国务院有关文件及</w:t>
      </w:r>
      <w:r>
        <w:rPr>
          <w:rFonts w:ascii="仿宋" w:hAnsi="仿宋" w:eastAsia="仿宋" w:cs="仿宋"/>
          <w:sz w:val="30"/>
          <w:szCs w:val="30"/>
          <w:shd w:val="clear" w:color="auto" w:fill="ffffff"/>
        </w:rPr>
        <w:t xml:space="preserve">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firstLine="600" w:left="0"/>
        <w:jc w:val="left"/>
        <w:rPr>
          <w:rFonts w:ascii="Times New Roman" w:hAnsi="Times New Roman" w:eastAsia="Times New Roman" w:cs="Times New Roman"/>
          <w:sz w:val="21"/>
          <w:szCs w:val="21"/>
        </w:rPr>
      </w:pPr>
      <w:r>
        <w:rPr>
          <w:rFonts w:ascii="仿宋" w:hAnsi="仿宋" w:eastAsia="仿宋" w:cs="仿宋"/>
          <w:sz w:val="30"/>
          <w:szCs w:val="30"/>
          <w:shd w:val="clear" w:color="auto" w:fill="ffffff"/>
        </w:rPr>
        <w:t xml:space="preserve">（四）</w:t>
      </w:r>
      <w:r>
        <w:rPr>
          <w:sz w:val="30"/>
          <w:szCs w:val="30"/>
          <w:shd w:val="clear" w:color="auto" w:fill="ffffff"/>
        </w:rPr>
        <w:t xml:space="preserve">“</w:t>
      </w:r>
      <w:r>
        <w:rPr>
          <w:rFonts w:ascii="仿宋" w:hAnsi="仿宋" w:eastAsia="仿宋" w:cs="仿宋"/>
          <w:sz w:val="30"/>
          <w:szCs w:val="30"/>
          <w:shd w:val="clear" w:color="auto" w:fill="ffffff"/>
        </w:rPr>
        <w:t xml:space="preserve">三公</w:t>
      </w:r>
      <w:r>
        <w:rPr>
          <w:sz w:val="30"/>
          <w:szCs w:val="30"/>
          <w:shd w:val="clear" w:color="auto" w:fill="ffffff"/>
        </w:rPr>
        <w:t xml:space="preserve">”</w:t>
      </w:r>
      <w:r>
        <w:rPr>
          <w:rFonts w:ascii="仿宋" w:hAnsi="仿宋" w:eastAsia="仿宋" w:cs="仿宋"/>
          <w:sz w:val="30"/>
          <w:szCs w:val="30"/>
          <w:shd w:val="clear" w:color="auto" w:fill="ffffff"/>
        </w:rPr>
        <w:t xml:space="preserve">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center"/>
        <w:rPr>
          <w:rFonts w:ascii="Times New Roman" w:hAnsi="Times New Roman" w:eastAsia="Times New Roman" w:cs="Times New Roman"/>
          <w:sz w:val="21"/>
          <w:szCs w:val="21"/>
        </w:rPr>
      </w:pPr>
      <w:r>
        <w:rPr>
          <w:sz w:val="32"/>
          <w:szCs w:val="32"/>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line="590" w:lineRule="atLeast"/>
        <w:ind w:right="0" w:left="0"/>
        <w:jc w:val="center"/>
        <w:rPr>
          <w:rFonts w:ascii="Times New Roman" w:hAnsi="Times New Roman" w:eastAsia="Times New Roman" w:cs="Times New Roman"/>
          <w:sz w:val="21"/>
          <w:szCs w:val="21"/>
        </w:rPr>
      </w:pPr>
      <w:r>
        <w:rPr>
          <w:rFonts w:ascii="黑体" w:hAnsi="黑体" w:eastAsia="黑体" w:cs="黑体"/>
          <w:sz w:val="32"/>
          <w:szCs w:val="32"/>
          <w:shd w:val="clear" w:color="auto" w:fill="ffffff"/>
        </w:rPr>
        <w:t xml:space="preserve">第五部分 </w:t>
      </w:r>
      <w:r>
        <w:rPr>
          <w:rFonts w:ascii="Calibri" w:hAnsi="Calibri" w:eastAsia="Calibri" w:cs="Calibri"/>
          <w:sz w:val="32"/>
          <w:szCs w:val="32"/>
          <w:shd w:val="clear" w:color="auto" w:fill="ffffff"/>
        </w:rPr>
        <w:t xml:space="preserve"> </w:t>
      </w:r>
      <w:r>
        <w:rPr>
          <w:rFonts w:ascii="黑体" w:hAnsi="黑体" w:eastAsia="黑体" w:cs="黑体"/>
          <w:sz w:val="32"/>
          <w:szCs w:val="32"/>
          <w:shd w:val="clear" w:color="auto" w:fill="ffffff"/>
        </w:rPr>
        <w:t xml:space="preserve">名词解释</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8"/>
        <w:pBdr/>
        <w:spacing w:after="0" w:before="0" w:line="600" w:lineRule="atLeast"/>
        <w:ind w:right="0" w:firstLine="600" w:left="0"/>
        <w:rPr/>
      </w:pPr>
      <w:r>
        <w:rPr>
          <w:rFonts w:ascii="仿宋" w:hAnsi="仿宋" w:eastAsia="仿宋" w:cs="仿宋"/>
          <w:sz w:val="30"/>
          <w:szCs w:val="30"/>
        </w:rPr>
        <w:t xml:space="preserve">重点经济分类支出执行情况中的“三公经费”主要是指：三公经费支出口径：反映用一般公共预算财政拨款资金安排的因公出国（境）、公务用车购置和运行维护费、公务接待费。</w:t>
      </w:r>
      <w:r/>
    </w:p>
    <w:p>
      <w:pPr>
        <w:pStyle w:val="628"/>
        <w:pBdr/>
        <w:spacing w:after="100" w:before="0" w:line="590" w:lineRule="atLeast"/>
        <w:ind w:right="0" w:firstLine="600" w:left="0"/>
        <w:rPr/>
      </w:pPr>
      <w:r>
        <w:rPr>
          <w:rFonts w:ascii="仿宋" w:hAnsi="仿宋" w:eastAsia="仿宋" w:cs="仿宋"/>
          <w:sz w:val="30"/>
          <w:szCs w:val="30"/>
        </w:rPr>
        <w:t xml:space="preserve">因公出国（境）费用：反映单位公务出国（境）的国际旅费、国外城市间交通费、住宿费、伙食费、培训费、公杂费等支出。公务用车运行维护费：反映单位按规定保留的公务用车燃料费、维修费、过桥过路费、保险费、安全奖励费用等支出。公务接待费：反映单位按规定开支的各类公务接待（含外宾接待）费用</w:t>
      </w:r>
      <w:r>
        <w:rPr>
          <w:rFonts w:ascii="仿宋" w:hAnsi="仿宋" w:eastAsia="仿宋" w:cs="仿宋"/>
          <w:sz w:val="30"/>
          <w:szCs w:val="30"/>
          <w:shd w:val="clear" w:color="auto" w:fill="ffffff"/>
        </w:rPr>
        <w:t xml:space="preserve">。</w:t>
      </w:r>
      <w:r/>
    </w:p>
    <w:p>
      <w:pPr>
        <w:pStyle w:val="628"/>
        <w:pBdr/>
        <w:spacing w:after="100" w:before="0" w:line="590" w:lineRule="atLeast"/>
        <w:ind w:right="0" w:firstLine="600" w:left="0"/>
        <w:rPr/>
      </w:pPr>
      <w:r>
        <w:rPr>
          <w:rFonts w:ascii="仿宋" w:hAnsi="仿宋" w:eastAsia="仿宋" w:cs="仿宋"/>
          <w:sz w:val="30"/>
          <w:szCs w:val="30"/>
          <w:shd w:val="clear" w:color="auto" w:fill="ffffff"/>
        </w:rPr>
        <w:t xml:space="preserve">部门采购支出数据统计来源为云南省政府采购网备案数据。</w:t>
      </w:r>
      <w:r/>
    </w:p>
    <w:p>
      <w:pPr>
        <w:pStyle w:val="629"/>
        <w:pBdr/>
        <w:spacing w:after="0" w:before="0"/>
        <w:ind w:right="0" w:left="0"/>
        <w:rPr>
          <w:rFonts w:ascii="Times New Roman" w:hAnsi="Times New Roman" w:eastAsia="Times New Roman" w:cs="Times New Roman"/>
          <w:sz w:val="21"/>
          <w:szCs w:val="21"/>
        </w:rPr>
      </w:pPr>
      <w:r>
        <w:rPr>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left="0"/>
        <w:jc w:val="left"/>
        <w:rPr>
          <w:rFonts w:ascii="Times New Roman" w:hAnsi="Times New Roman" w:eastAsia="Times New Roman" w:cs="Times New Roman"/>
          <w:sz w:val="21"/>
          <w:szCs w:val="21"/>
        </w:rPr>
      </w:pPr>
      <w:r>
        <w:rPr>
          <w:rFonts w:ascii="方正小标宋简体" w:hAnsi="方正小标宋简体" w:eastAsia="方正小标宋简体" w:cs="方正小标宋简体"/>
          <w:sz w:val="36"/>
          <w:szCs w:val="36"/>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left="0"/>
        <w:jc w:val="left"/>
        <w:rPr>
          <w:rFonts w:ascii="Times New Roman" w:hAnsi="Times New Roman" w:eastAsia="Times New Roman" w:cs="Times New Roman"/>
          <w:sz w:val="21"/>
          <w:szCs w:val="21"/>
        </w:rPr>
      </w:pPr>
      <w:r>
        <w:rPr>
          <w:rFonts w:ascii="宋体" w:hAnsi="宋体" w:eastAsia="宋体" w:cs="宋体"/>
          <w:sz w:val="18"/>
          <w:szCs w:val="18"/>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29"/>
        <w:pBdr/>
        <w:spacing w:after="0" w:before="0"/>
        <w:ind w:right="0" w:left="0"/>
        <w:jc w:val="left"/>
        <w:rPr>
          <w:rFonts w:ascii="Times New Roman" w:hAnsi="Times New Roman" w:eastAsia="Times New Roman" w:cs="Times New Roman"/>
          <w:sz w:val="21"/>
          <w:szCs w:val="21"/>
        </w:rPr>
      </w:pPr>
      <w:r>
        <w:rPr>
          <w:rFonts w:ascii="方正小标宋简体" w:hAnsi="方正小标宋简体" w:eastAsia="方正小标宋简体" w:cs="方正小标宋简体"/>
          <w:sz w:val="36"/>
          <w:szCs w:val="36"/>
          <w:shd w:val="clear" w:color="auto" w:fill="ffffff"/>
        </w:rPr>
        <w:t xml:space="preserve">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616"/>
        <w:pBdr/>
        <w:spacing/>
        <w:ind/>
        <w:rPr>
          <w:rFonts w:ascii="Arial" w:hAnsi="Arial" w:eastAsia="Arial" w:cs="Arial"/>
          <w:b/>
          <w:sz w:val="36"/>
        </w:rPr>
      </w:pPr>
      <w:r>
        <w:rPr>
          <w:rFonts w:ascii="Arial" w:hAnsi="Arial" w:eastAsia="Arial" w:cs="Arial"/>
          <w:b/>
          <w:sz w:val="36"/>
        </w:rPr>
        <w:t xml:space="preserve">监督索引号53340000432901111</w:t>
      </w:r>
      <w:r>
        <w:rPr>
          <w:rFonts w:ascii="Arial" w:hAnsi="Arial" w:eastAsia="Arial" w:cs="Arial"/>
          <w:b/>
          <w:sz w:val="36"/>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楷体">
    <w:panose1 w:val="02010609060101010101"/>
  </w:font>
  <w:font w:name="黑体">
    <w:panose1 w:val="02010609060101010101"/>
  </w:font>
  <w:font w:name="仿宋_GB2312">
    <w:panose1 w:val="02010609060101010101"/>
  </w:font>
  <w:font w:name="方正小标宋简体">
    <w:panose1 w:val="03000509000000000000"/>
  </w:font>
  <w:font w:name="Times New Roman">
    <w:panose1 w:val="02020603050405020304"/>
  </w:font>
  <w:font w:name="宋体">
    <w:panose1 w:val="02010600030101010101"/>
  </w:font>
  <w:font w:name="Arial">
    <w:panose1 w:val="020B0604020202020204"/>
  </w:font>
  <w:font w:name="Calibri">
    <w:panose1 w:val="020F0502020204030204"/>
  </w:font>
  <w:font w:name="等线">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pBdr/>
      <w:spacing/>
      <w:ind/>
    </w:pPr>
    <w:rPr>
      <w:sz w:val="24"/>
      <w:szCs w:val="24"/>
    </w:rPr>
  </w:style>
  <w:style w:type="paragraph" w:styleId="617">
    <w:name w:val="标题 1"/>
    <w:basedOn w:val="616"/>
    <w:next w:val="616"/>
    <w:link w:val="616"/>
    <w:qFormat/>
    <w:pPr>
      <w:keepNext w:val="true"/>
      <w:pBdr/>
      <w:spacing w:after="60" w:before="240"/>
      <w:ind/>
      <w:jc w:val="left"/>
      <w:outlineLvl w:val="0"/>
    </w:pPr>
    <w:rPr>
      <w:rFonts w:ascii="宋体" w:hAnsi="宋体" w:eastAsia="宋体" w:cs="宋体"/>
      <w:b/>
      <w:bCs/>
      <w:i w:val="0"/>
      <w:sz w:val="48"/>
      <w:szCs w:val="48"/>
    </w:rPr>
  </w:style>
  <w:style w:type="paragraph" w:styleId="618">
    <w:name w:val="标题 2"/>
    <w:basedOn w:val="616"/>
    <w:next w:val="616"/>
    <w:link w:val="616"/>
    <w:qFormat/>
    <w:pPr>
      <w:keepNext w:val="true"/>
      <w:pBdr/>
      <w:spacing w:after="60" w:before="240"/>
      <w:ind/>
      <w:jc w:val="left"/>
      <w:outlineLvl w:val="1"/>
    </w:pPr>
    <w:rPr>
      <w:rFonts w:ascii="宋体" w:hAnsi="宋体" w:eastAsia="宋体" w:cs="宋体"/>
      <w:b/>
      <w:bCs/>
      <w:i w:val="0"/>
      <w:iCs/>
      <w:sz w:val="36"/>
      <w:szCs w:val="36"/>
    </w:rPr>
  </w:style>
  <w:style w:type="paragraph" w:styleId="619">
    <w:name w:val="标题 3"/>
    <w:basedOn w:val="616"/>
    <w:next w:val="616"/>
    <w:link w:val="616"/>
    <w:qFormat/>
    <w:pPr>
      <w:keepNext w:val="true"/>
      <w:pBdr/>
      <w:spacing w:after="60" w:before="240"/>
      <w:ind/>
      <w:jc w:val="left"/>
      <w:outlineLvl w:val="2"/>
    </w:pPr>
    <w:rPr>
      <w:rFonts w:ascii="宋体" w:hAnsi="宋体" w:eastAsia="宋体" w:cs="宋体"/>
      <w:b/>
      <w:bCs/>
      <w:i w:val="0"/>
      <w:sz w:val="27"/>
      <w:szCs w:val="27"/>
    </w:rPr>
  </w:style>
  <w:style w:type="paragraph" w:styleId="620">
    <w:name w:val="标题 4"/>
    <w:basedOn w:val="616"/>
    <w:next w:val="616"/>
    <w:link w:val="616"/>
    <w:qFormat/>
    <w:pPr>
      <w:keepNext w:val="true"/>
      <w:pBdr/>
      <w:spacing w:after="60" w:before="240"/>
      <w:ind/>
      <w:jc w:val="left"/>
      <w:outlineLvl w:val="3"/>
    </w:pPr>
    <w:rPr>
      <w:rFonts w:ascii="宋体" w:hAnsi="宋体" w:eastAsia="宋体" w:cs="宋体"/>
      <w:b/>
      <w:bCs/>
      <w:i w:val="0"/>
      <w:sz w:val="24"/>
      <w:szCs w:val="24"/>
    </w:rPr>
  </w:style>
  <w:style w:type="paragraph" w:styleId="621">
    <w:name w:val="标题 5"/>
    <w:basedOn w:val="616"/>
    <w:next w:val="616"/>
    <w:link w:val="616"/>
    <w:qFormat/>
    <w:pPr>
      <w:pBdr/>
      <w:spacing w:after="60" w:before="240"/>
      <w:ind/>
      <w:jc w:val="left"/>
      <w:outlineLvl w:val="4"/>
    </w:pPr>
    <w:rPr>
      <w:rFonts w:ascii="宋体" w:hAnsi="宋体" w:eastAsia="宋体" w:cs="宋体"/>
      <w:b/>
      <w:bCs/>
      <w:i w:val="0"/>
      <w:iCs/>
      <w:sz w:val="20"/>
      <w:szCs w:val="20"/>
    </w:rPr>
  </w:style>
  <w:style w:type="paragraph" w:styleId="622">
    <w:name w:val="标题 6"/>
    <w:basedOn w:val="616"/>
    <w:next w:val="616"/>
    <w:link w:val="616"/>
    <w:qFormat/>
    <w:pPr>
      <w:pBdr/>
      <w:spacing w:after="60" w:before="240"/>
      <w:ind/>
      <w:jc w:val="left"/>
      <w:outlineLvl w:val="5"/>
    </w:pPr>
    <w:rPr>
      <w:rFonts w:ascii="宋体" w:hAnsi="宋体" w:eastAsia="宋体" w:cs="宋体"/>
      <w:b/>
      <w:bCs/>
      <w:i w:val="0"/>
      <w:sz w:val="15"/>
      <w:szCs w:val="15"/>
    </w:rPr>
  </w:style>
  <w:style w:type="character" w:styleId="623">
    <w:name w:val="默认段落字体"/>
    <w:next w:val="623"/>
    <w:link w:val="616"/>
    <w:semiHidden/>
    <w:pPr>
      <w:pBdr/>
      <w:spacing/>
      <w:ind/>
    </w:pPr>
  </w:style>
  <w:style w:type="table" w:styleId="624">
    <w:name w:val="普通表格"/>
    <w:next w:val="624"/>
    <w:link w:val="616"/>
    <w:uiPriority w:val="99"/>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25">
    <w:name w:val="17"/>
    <w:basedOn w:val="623"/>
    <w:next w:val="625"/>
    <w:link w:val="616"/>
    <w:pPr>
      <w:pBdr/>
      <w:spacing/>
      <w:ind/>
    </w:pPr>
  </w:style>
  <w:style w:type="character" w:styleId="626">
    <w:name w:val="15"/>
    <w:basedOn w:val="623"/>
    <w:next w:val="626"/>
    <w:link w:val="616"/>
    <w:pPr>
      <w:pBdr/>
      <w:spacing/>
      <w:ind/>
    </w:pPr>
  </w:style>
  <w:style w:type="paragraph" w:styleId="627">
    <w:name w:val="div_Section0"/>
    <w:basedOn w:val="616"/>
    <w:next w:val="627"/>
    <w:link w:val="616"/>
    <w:pPr>
      <w:pBdr/>
      <w:spacing/>
      <w:ind/>
    </w:pPr>
  </w:style>
  <w:style w:type="paragraph" w:styleId="628">
    <w:name w:val="22"/>
    <w:basedOn w:val="616"/>
    <w:next w:val="628"/>
    <w:link w:val="616"/>
    <w:pPr>
      <w:pBdr/>
      <w:spacing/>
      <w:ind/>
    </w:pPr>
  </w:style>
  <w:style w:type="paragraph" w:styleId="629">
    <w:name w:val="p_MsoNormal"/>
    <w:basedOn w:val="616"/>
    <w:next w:val="629"/>
    <w:link w:val="616"/>
    <w:pPr>
      <w:pBdr/>
      <w:spacing/>
      <w:ind/>
      <w:jc w:val="both"/>
    </w:pPr>
    <w:rPr>
      <w:rFonts w:ascii="Times New Roman" w:hAnsi="Times New Roman" w:eastAsia="Times New Roman" w:cs="Times New Roman"/>
      <w:sz w:val="21"/>
      <w:szCs w:val="21"/>
    </w:rPr>
  </w:style>
  <w:style w:type="table" w:styleId="630">
    <w:name w:val="table_MsoNormalTable"/>
    <w:basedOn w:val="624"/>
    <w:next w:val="630"/>
    <w:link w:val="6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2452" w:default="1">
    <w:name w:val="Default Paragraph Font"/>
    <w:uiPriority w:val="1"/>
    <w:semiHidden/>
    <w:unhideWhenUsed/>
    <w:pPr>
      <w:pBdr/>
      <w:spacing/>
      <w:ind/>
    </w:pPr>
  </w:style>
  <w:style w:type="numbering" w:styleId="2453" w:default="1">
    <w:name w:val="No List"/>
    <w:uiPriority w:val="99"/>
    <w:semiHidden/>
    <w:unhideWhenUsed/>
    <w:pPr>
      <w:pBdr/>
      <w:spacing/>
      <w:ind/>
    </w:pPr>
  </w:style>
  <w:style w:type="table" w:styleId="2454"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ScaleCrop>false</ScaleCrop>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树</dc:creator>
  <cp:lastModifiedBy>匿名</cp:lastModifiedBy>
  <cp:revision>1</cp:revision>
  <dcterms:created xsi:type="dcterms:W3CDTF">2022-10-19T02:31:00Z</dcterms:created>
  <dcterms:modified xsi:type="dcterms:W3CDTF">2024-12-19T06:22:57Z</dcterms:modified>
</cp:coreProperties>
</file>