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9D" w:rsidRDefault="006414CC">
      <w:pPr>
        <w:spacing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w:t>
      </w:r>
      <w:r w:rsidR="007B53E4">
        <w:rPr>
          <w:rFonts w:ascii="方正黑体_GBK" w:eastAsia="方正黑体_GBK" w:hAnsi="方正黑体_GBK" w:cs="方正黑体_GBK"/>
          <w:sz w:val="32"/>
          <w:szCs w:val="32"/>
        </w:rPr>
        <w:t>3</w:t>
      </w:r>
      <w:r>
        <w:rPr>
          <w:rFonts w:ascii="方正黑体_GBK" w:eastAsia="方正黑体_GBK" w:hAnsi="方正黑体_GBK" w:cs="方正黑体_GBK" w:hint="eastAsia"/>
          <w:sz w:val="32"/>
          <w:szCs w:val="32"/>
        </w:rPr>
        <w:t xml:space="preserve"> </w:t>
      </w:r>
    </w:p>
    <w:p w:rsidR="007B459D" w:rsidRDefault="007B459D">
      <w:pPr>
        <w:spacing w:line="600" w:lineRule="exact"/>
        <w:rPr>
          <w:rFonts w:ascii="方正黑体_GBK" w:eastAsia="方正黑体_GBK" w:hAnsi="方正黑体_GBK" w:cs="方正黑体_GBK"/>
          <w:sz w:val="32"/>
          <w:szCs w:val="32"/>
        </w:rPr>
      </w:pPr>
    </w:p>
    <w:p w:rsidR="007B459D" w:rsidRDefault="006414CC">
      <w:pPr>
        <w:spacing w:line="500" w:lineRule="exact"/>
        <w:jc w:val="center"/>
        <w:rPr>
          <w:rFonts w:ascii="方正小标宋_GBK" w:eastAsia="方正小标宋_GBK" w:hAnsi="仿宋"/>
          <w:sz w:val="44"/>
          <w:szCs w:val="44"/>
        </w:rPr>
      </w:pPr>
      <w:r>
        <w:rPr>
          <w:rFonts w:ascii="方正小标宋_GBK" w:eastAsia="方正小标宋_GBK" w:hAnsi="仿宋" w:hint="eastAsia"/>
          <w:sz w:val="44"/>
          <w:szCs w:val="44"/>
        </w:rPr>
        <w:t>云南省中等职业学校专业课、实习指导教师</w:t>
      </w:r>
    </w:p>
    <w:p w:rsidR="007B459D" w:rsidRDefault="006414CC">
      <w:pPr>
        <w:spacing w:line="500" w:lineRule="exact"/>
        <w:jc w:val="center"/>
        <w:rPr>
          <w:rFonts w:ascii="方正小标宋_GBK" w:eastAsia="方正小标宋_GBK" w:hAnsi="仿宋"/>
          <w:sz w:val="44"/>
          <w:szCs w:val="44"/>
        </w:rPr>
      </w:pPr>
      <w:r>
        <w:rPr>
          <w:rFonts w:ascii="方正小标宋_GBK" w:eastAsia="方正小标宋_GBK" w:hAnsi="仿宋" w:hint="eastAsia"/>
          <w:sz w:val="44"/>
          <w:szCs w:val="44"/>
        </w:rPr>
        <w:t>资格考试</w:t>
      </w:r>
      <w:r w:rsidR="00D23D98">
        <w:rPr>
          <w:rFonts w:ascii="方正小标宋_GBK" w:eastAsia="方正小标宋_GBK" w:hAnsi="仿宋" w:hint="eastAsia"/>
          <w:sz w:val="44"/>
          <w:szCs w:val="44"/>
        </w:rPr>
        <w:t>（</w:t>
      </w:r>
      <w:r w:rsidR="00D23D98">
        <w:rPr>
          <w:rFonts w:ascii="方正小标宋_GBK" w:eastAsia="方正小标宋_GBK" w:hAnsi="仿宋" w:hint="eastAsia"/>
          <w:sz w:val="44"/>
          <w:szCs w:val="44"/>
        </w:rPr>
        <w:t>面试</w:t>
      </w:r>
      <w:r w:rsidR="00D23D98">
        <w:rPr>
          <w:rFonts w:ascii="方正小标宋_GBK" w:eastAsia="方正小标宋_GBK" w:hAnsi="仿宋" w:hint="eastAsia"/>
          <w:sz w:val="44"/>
          <w:szCs w:val="44"/>
        </w:rPr>
        <w:t>）</w:t>
      </w:r>
      <w:r>
        <w:rPr>
          <w:rFonts w:ascii="方正小标宋_GBK" w:eastAsia="方正小标宋_GBK" w:hAnsi="仿宋" w:hint="eastAsia"/>
          <w:sz w:val="44"/>
          <w:szCs w:val="44"/>
        </w:rPr>
        <w:t>大纲</w:t>
      </w:r>
    </w:p>
    <w:p w:rsidR="007B459D" w:rsidRDefault="007B459D">
      <w:pPr>
        <w:adjustRightInd w:val="0"/>
        <w:snapToGrid w:val="0"/>
        <w:spacing w:line="600" w:lineRule="exact"/>
        <w:rPr>
          <w:rFonts w:ascii="仿宋_GB2312" w:eastAsia="仿宋_GB2312" w:hAnsi="仿宋"/>
          <w:sz w:val="32"/>
          <w:szCs w:val="32"/>
        </w:rPr>
      </w:pPr>
    </w:p>
    <w:p w:rsidR="007B459D" w:rsidRDefault="006414CC">
      <w:pPr>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一、测试性质</w:t>
      </w:r>
      <w:bookmarkStart w:id="0" w:name="_GoBack"/>
      <w:bookmarkEnd w:id="0"/>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面试是中等职业学校专业课教师和实习指导教师资格考试的组成部分，属于标准参照性考试。笔试科目《专业知识与教学能力》的考察结合面试环节进行。 </w:t>
      </w:r>
    </w:p>
    <w:p w:rsidR="007B459D" w:rsidRDefault="006414CC">
      <w:pPr>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 xml:space="preserve">二、测试目标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面试主要考察申请中等职业学校专业课教师和实习指导教师资格人员应具备的教师基本素养、职业发展潜质、教育教学能力、专业基础知识和基本技能，主要包括：</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1.良好的职业认知、心理素质和思维品质。</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2.较好的专业基础知识，必需的基本技能。</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3.仪表仪态得体，有一定的表达、交流、沟通能力。</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4.能够恰当地运用教学方法、手段，教学环节规范，较好地达成教学目标。</w:t>
      </w:r>
    </w:p>
    <w:p w:rsidR="007B459D" w:rsidRDefault="006414CC">
      <w:pPr>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 xml:space="preserve">三、测试内容与要求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（一）职业认知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1.热爱教育事业，能正确认识、理解中等职业教育专业课教师和实习指导教师的职业特征，遵守教师职业道德规范，能够正确认识、分析和评价教育教学实践中的师德问题。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 xml:space="preserve">2.关爱学生、尊重学生，公正平等地对待每一位学生，关注每一位学生的成长。遵循学生身心发展规律，以学生发展为本，培养学生的职业兴趣、学习兴趣和自信心，激发学生的主动性和创造性，发挥学生特长，挖掘学生潜质，为每一个学生提供适合的教育，提高学生的就业能力、创业能力和终身学习的能力，促进学生健康快乐成长，学有所长，全面发展。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（二）心理素质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1.积极、开朗，有自信心。具有积极向上的精神，主动热情工作；具有坚定顽强的精神，不怕困难。</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2.有较强的情绪调节与自控能力。能够有条不紊地工作，不急不躁；能够冷静处理问题，有应变能力；能公正地看待问题，不偏激，不固执。</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（三）仪表仪态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1.仪表整洁，符合教育职业和场景要求。</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2.举止大方，肢体语言得体，符合教师礼仪和教学内容要求。</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（四）言语表达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1.语言清晰，语速适宜，表达准确。口齿清楚，讲话流利，发音标准，声音洪亮，语速适宜；讲话中心明确，层次分明，表达完整，有感染力。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2.善于倾听、交流，有亲和力。具有较强的口头表达能力，善于倾听别人的意见，并能够较准确地表达自己的观点；在交流中尊重对方、态度和蔼。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（五）思维品质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1.能够迅速、准确地理解和分析问题，有较强的综合分析能力。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2.能够清晰有条理地陈述问题，有较强的逻辑性。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3.能够比较全面地看待问题，思维灵活。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4.能够提出具有创新性的解决问题的思路和方法。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（六）教学设计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1.能体现所任专业对应行业的产业和技术发展的现状和趋势，了解教学课程在专业人才培养中的地位、作用。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2.能根据所任专业的基础知识和专业特点，准确把握教学目标、教学内容、教学重点和难点。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3.能体现学生的主体性，教学方法和手段符合中等职业学校学生特点、内容要求和场景要求，因材施教。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（七）教学实施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1.能够有效地组织学生的学习活动，注重激发学生的学习兴趣，有与学生交流的意识。</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2.能够科学准确地表达和呈现教学主题、教学目标、教学内容和教学要求，主题突出，层次分明，板书工整、美观、适量。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3.能合理运用教学设备或实训设备展示操作技能和操作技术规范，有良好的安全意识。</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4.能够较好地控制教学时间和教学节奏，合理运用信息化手段，较好地达成教学目标。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（八）教学评价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1.在教学实施过程中注重对学生进行评价。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2.能客观评价自己的教学效果。 </w:t>
      </w:r>
    </w:p>
    <w:p w:rsidR="007B459D" w:rsidRDefault="006414CC">
      <w:pPr>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 xml:space="preserve">四、测试方法与流程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（一）测试方法采取结构化面试和情境模拟相结合的方法，通过抽题、备课、专业概述、试讲(演示)、答辩等方式进行。</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（二）测试流程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1.抽取试题。考生根据自己所报考的专业，自带一本正式出版的本专业中职或以上学校的专业课教材，工作人员在教材中随机抽取章节作为考试题目。</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抽题方法：第一步，抽题室工作人员对教材进行审核，查看本教材有多少章，用相应的号码球对应不同的章，由考生随机抽取第几章；第二步，工作人员查看考生抽取的章含多少节，用相应的号码球对应不同的节，由考生随机抽取相应的节；第三步，工作人员将考生随机抽取的章节内容作为备课和试讲内容，登记在备课纸上，考生签名确认。</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2.备课。考生根据抽取的备课内容，进行教学设计。时间20分钟。报考专业课教师应按理论课或理实一体化课的要求，进行教学设计。报考实习指导教师应按实验实训课的要求，进行教学设计。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3.专业概述。考生针对拟任教专业进行专业概述。时间5分钟。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4.试讲（演示）。考生按照准备的教学方案进行试讲（或演示）。时间10分钟。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5.答辩。考官进行提问，考生答辩。时间5分钟。 </w:t>
      </w:r>
    </w:p>
    <w:p w:rsidR="007B459D" w:rsidRDefault="006414CC">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6.评分。考官根据考生面试过程中的表现，进行综合性评分。</w:t>
      </w:r>
    </w:p>
    <w:p w:rsidR="007B459D" w:rsidRDefault="006414CC">
      <w:pPr>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五、评分标准</w:t>
      </w:r>
    </w:p>
    <w:tbl>
      <w:tblPr>
        <w:tblStyle w:val="a5"/>
        <w:tblW w:w="8364" w:type="dxa"/>
        <w:jc w:val="center"/>
        <w:tblLayout w:type="fixed"/>
        <w:tblLook w:val="04A0" w:firstRow="1" w:lastRow="0" w:firstColumn="1" w:lastColumn="0" w:noHBand="0" w:noVBand="1"/>
      </w:tblPr>
      <w:tblGrid>
        <w:gridCol w:w="1127"/>
        <w:gridCol w:w="1127"/>
        <w:gridCol w:w="1551"/>
        <w:gridCol w:w="985"/>
        <w:gridCol w:w="3574"/>
      </w:tblGrid>
      <w:tr w:rsidR="007B459D">
        <w:trPr>
          <w:trHeight w:val="20"/>
          <w:jc w:val="center"/>
        </w:trPr>
        <w:tc>
          <w:tcPr>
            <w:tcW w:w="1127" w:type="dxa"/>
            <w:vAlign w:val="center"/>
          </w:tcPr>
          <w:p w:rsidR="007B459D" w:rsidRDefault="006414CC">
            <w:pPr>
              <w:adjustRightInd w:val="0"/>
              <w:snapToGrid w:val="0"/>
              <w:jc w:val="center"/>
              <w:rPr>
                <w:rFonts w:ascii="仿宋_GB2312" w:eastAsia="仿宋_GB2312" w:hAnsi="仿宋"/>
                <w:b/>
                <w:kern w:val="0"/>
                <w:sz w:val="24"/>
                <w:szCs w:val="24"/>
              </w:rPr>
            </w:pPr>
            <w:r>
              <w:rPr>
                <w:rFonts w:ascii="仿宋_GB2312" w:eastAsia="仿宋_GB2312" w:hAnsi="仿宋" w:hint="eastAsia"/>
                <w:b/>
                <w:kern w:val="0"/>
                <w:sz w:val="24"/>
                <w:szCs w:val="24"/>
              </w:rPr>
              <w:t>序号</w:t>
            </w:r>
          </w:p>
        </w:tc>
        <w:tc>
          <w:tcPr>
            <w:tcW w:w="1127" w:type="dxa"/>
            <w:vAlign w:val="center"/>
          </w:tcPr>
          <w:p w:rsidR="007B459D" w:rsidRDefault="006414CC">
            <w:pPr>
              <w:adjustRightInd w:val="0"/>
              <w:snapToGrid w:val="0"/>
              <w:jc w:val="center"/>
              <w:rPr>
                <w:rFonts w:ascii="仿宋_GB2312" w:eastAsia="仿宋_GB2312" w:hAnsi="仿宋"/>
                <w:b/>
                <w:kern w:val="0"/>
                <w:sz w:val="24"/>
                <w:szCs w:val="24"/>
              </w:rPr>
            </w:pPr>
            <w:r>
              <w:rPr>
                <w:rFonts w:ascii="仿宋_GB2312" w:eastAsia="仿宋_GB2312" w:hAnsi="仿宋" w:hint="eastAsia"/>
                <w:b/>
                <w:kern w:val="0"/>
                <w:sz w:val="24"/>
                <w:szCs w:val="24"/>
              </w:rPr>
              <w:t>测试</w:t>
            </w:r>
          </w:p>
          <w:p w:rsidR="007B459D" w:rsidRDefault="006414CC">
            <w:pPr>
              <w:adjustRightInd w:val="0"/>
              <w:snapToGrid w:val="0"/>
              <w:jc w:val="center"/>
              <w:rPr>
                <w:rFonts w:ascii="仿宋_GB2312" w:eastAsia="仿宋_GB2312" w:hAnsi="仿宋"/>
                <w:b/>
                <w:kern w:val="0"/>
                <w:sz w:val="24"/>
                <w:szCs w:val="24"/>
              </w:rPr>
            </w:pPr>
            <w:r>
              <w:rPr>
                <w:rFonts w:ascii="仿宋_GB2312" w:eastAsia="仿宋_GB2312" w:hAnsi="仿宋" w:hint="eastAsia"/>
                <w:b/>
                <w:kern w:val="0"/>
                <w:sz w:val="24"/>
                <w:szCs w:val="24"/>
              </w:rPr>
              <w:t>项目</w:t>
            </w:r>
          </w:p>
        </w:tc>
        <w:tc>
          <w:tcPr>
            <w:tcW w:w="1551" w:type="dxa"/>
            <w:vAlign w:val="center"/>
          </w:tcPr>
          <w:p w:rsidR="007B459D" w:rsidRDefault="006414CC">
            <w:pPr>
              <w:adjustRightInd w:val="0"/>
              <w:snapToGrid w:val="0"/>
              <w:ind w:firstLineChars="100" w:firstLine="241"/>
              <w:jc w:val="center"/>
              <w:rPr>
                <w:rFonts w:ascii="仿宋_GB2312" w:eastAsia="仿宋_GB2312" w:hAnsi="仿宋"/>
                <w:b/>
                <w:kern w:val="0"/>
                <w:sz w:val="24"/>
                <w:szCs w:val="24"/>
              </w:rPr>
            </w:pPr>
            <w:r>
              <w:rPr>
                <w:rFonts w:ascii="仿宋_GB2312" w:eastAsia="仿宋_GB2312" w:hAnsi="仿宋" w:hint="eastAsia"/>
                <w:b/>
                <w:kern w:val="0"/>
                <w:sz w:val="24"/>
                <w:szCs w:val="24"/>
              </w:rPr>
              <w:t>权重</w:t>
            </w:r>
          </w:p>
        </w:tc>
        <w:tc>
          <w:tcPr>
            <w:tcW w:w="985" w:type="dxa"/>
            <w:vAlign w:val="center"/>
          </w:tcPr>
          <w:p w:rsidR="007B459D" w:rsidRDefault="006414CC">
            <w:pPr>
              <w:adjustRightInd w:val="0"/>
              <w:snapToGrid w:val="0"/>
              <w:jc w:val="center"/>
              <w:rPr>
                <w:rFonts w:ascii="仿宋_GB2312" w:eastAsia="仿宋_GB2312" w:hAnsi="仿宋"/>
                <w:b/>
                <w:kern w:val="0"/>
                <w:sz w:val="24"/>
                <w:szCs w:val="24"/>
              </w:rPr>
            </w:pPr>
            <w:r>
              <w:rPr>
                <w:rFonts w:ascii="仿宋_GB2312" w:eastAsia="仿宋_GB2312" w:hAnsi="仿宋" w:hint="eastAsia"/>
                <w:b/>
                <w:kern w:val="0"/>
                <w:sz w:val="24"/>
                <w:szCs w:val="24"/>
              </w:rPr>
              <w:t>分值</w:t>
            </w:r>
          </w:p>
        </w:tc>
        <w:tc>
          <w:tcPr>
            <w:tcW w:w="3574" w:type="dxa"/>
            <w:vAlign w:val="center"/>
          </w:tcPr>
          <w:p w:rsidR="007B459D" w:rsidRDefault="006414CC">
            <w:pPr>
              <w:adjustRightInd w:val="0"/>
              <w:snapToGrid w:val="0"/>
              <w:jc w:val="center"/>
              <w:rPr>
                <w:rFonts w:ascii="仿宋_GB2312" w:eastAsia="仿宋_GB2312" w:hAnsi="仿宋"/>
                <w:b/>
                <w:kern w:val="0"/>
                <w:sz w:val="24"/>
                <w:szCs w:val="24"/>
              </w:rPr>
            </w:pPr>
            <w:r>
              <w:rPr>
                <w:rFonts w:ascii="仿宋_GB2312" w:eastAsia="仿宋_GB2312" w:hAnsi="仿宋" w:hint="eastAsia"/>
                <w:b/>
                <w:kern w:val="0"/>
                <w:sz w:val="24"/>
                <w:szCs w:val="24"/>
              </w:rPr>
              <w:t>评分标准</w:t>
            </w:r>
          </w:p>
        </w:tc>
      </w:tr>
      <w:tr w:rsidR="007B459D">
        <w:trPr>
          <w:trHeight w:val="20"/>
          <w:jc w:val="center"/>
        </w:trPr>
        <w:tc>
          <w:tcPr>
            <w:tcW w:w="1127" w:type="dxa"/>
            <w:vMerge w:val="restart"/>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一</w:t>
            </w:r>
          </w:p>
        </w:tc>
        <w:tc>
          <w:tcPr>
            <w:tcW w:w="1127" w:type="dxa"/>
            <w:vMerge w:val="restart"/>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职业认知</w:t>
            </w:r>
          </w:p>
        </w:tc>
        <w:tc>
          <w:tcPr>
            <w:tcW w:w="1551" w:type="dxa"/>
            <w:vMerge w:val="restart"/>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5</w:t>
            </w:r>
          </w:p>
        </w:tc>
        <w:tc>
          <w:tcPr>
            <w:tcW w:w="985" w:type="dxa"/>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3</w:t>
            </w:r>
          </w:p>
        </w:tc>
        <w:tc>
          <w:tcPr>
            <w:tcW w:w="3574" w:type="dxa"/>
          </w:tcPr>
          <w:p w:rsidR="007B459D" w:rsidRDefault="006414CC">
            <w:pPr>
              <w:adjustRightInd w:val="0"/>
              <w:snapToGrid w:val="0"/>
              <w:rPr>
                <w:rFonts w:ascii="仿宋_GB2312" w:eastAsia="仿宋_GB2312" w:hAnsi="仿宋"/>
                <w:kern w:val="0"/>
                <w:sz w:val="24"/>
                <w:szCs w:val="24"/>
              </w:rPr>
            </w:pPr>
            <w:r>
              <w:rPr>
                <w:rFonts w:ascii="仿宋_GB2312" w:eastAsia="仿宋_GB2312" w:hAnsi="仿宋" w:hint="eastAsia"/>
                <w:kern w:val="0"/>
                <w:sz w:val="24"/>
                <w:szCs w:val="24"/>
              </w:rPr>
              <w:t>热爱教育事业，有较强的重教愿望，能正确认识、理解中等职业教育专业课教师和实习指导教师的职业特征，遵守教师职业道德规范。</w:t>
            </w:r>
          </w:p>
        </w:tc>
      </w:tr>
      <w:tr w:rsidR="007B459D">
        <w:trPr>
          <w:trHeight w:val="20"/>
          <w:jc w:val="center"/>
        </w:trPr>
        <w:tc>
          <w:tcPr>
            <w:tcW w:w="1127" w:type="dxa"/>
            <w:vMerge/>
            <w:vAlign w:val="center"/>
          </w:tcPr>
          <w:p w:rsidR="007B459D" w:rsidRDefault="007B459D">
            <w:pPr>
              <w:adjustRightInd w:val="0"/>
              <w:snapToGrid w:val="0"/>
              <w:jc w:val="center"/>
              <w:rPr>
                <w:rFonts w:ascii="仿宋_GB2312" w:eastAsia="仿宋_GB2312" w:hAnsi="仿宋"/>
                <w:kern w:val="0"/>
                <w:sz w:val="24"/>
                <w:szCs w:val="24"/>
              </w:rPr>
            </w:pPr>
          </w:p>
        </w:tc>
        <w:tc>
          <w:tcPr>
            <w:tcW w:w="1127" w:type="dxa"/>
            <w:vMerge/>
            <w:vAlign w:val="center"/>
          </w:tcPr>
          <w:p w:rsidR="007B459D" w:rsidRDefault="007B459D">
            <w:pPr>
              <w:adjustRightInd w:val="0"/>
              <w:snapToGrid w:val="0"/>
              <w:jc w:val="center"/>
              <w:rPr>
                <w:rFonts w:ascii="仿宋_GB2312" w:eastAsia="仿宋_GB2312" w:hAnsi="仿宋"/>
                <w:kern w:val="0"/>
                <w:sz w:val="24"/>
                <w:szCs w:val="24"/>
              </w:rPr>
            </w:pPr>
          </w:p>
        </w:tc>
        <w:tc>
          <w:tcPr>
            <w:tcW w:w="1551" w:type="dxa"/>
            <w:vMerge/>
            <w:vAlign w:val="center"/>
          </w:tcPr>
          <w:p w:rsidR="007B459D" w:rsidRDefault="007B459D">
            <w:pPr>
              <w:adjustRightInd w:val="0"/>
              <w:snapToGrid w:val="0"/>
              <w:jc w:val="center"/>
              <w:rPr>
                <w:rFonts w:ascii="仿宋_GB2312" w:eastAsia="仿宋_GB2312" w:hAnsi="仿宋"/>
                <w:kern w:val="0"/>
                <w:sz w:val="24"/>
                <w:szCs w:val="24"/>
              </w:rPr>
            </w:pPr>
          </w:p>
        </w:tc>
        <w:tc>
          <w:tcPr>
            <w:tcW w:w="985" w:type="dxa"/>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2</w:t>
            </w:r>
          </w:p>
        </w:tc>
        <w:tc>
          <w:tcPr>
            <w:tcW w:w="3574" w:type="dxa"/>
          </w:tcPr>
          <w:p w:rsidR="007B459D" w:rsidRDefault="006414CC">
            <w:pPr>
              <w:adjustRightInd w:val="0"/>
              <w:snapToGrid w:val="0"/>
              <w:rPr>
                <w:rFonts w:ascii="仿宋_GB2312" w:eastAsia="仿宋_GB2312" w:hAnsi="仿宋"/>
                <w:kern w:val="0"/>
                <w:sz w:val="24"/>
                <w:szCs w:val="24"/>
              </w:rPr>
            </w:pPr>
            <w:r>
              <w:rPr>
                <w:rFonts w:ascii="仿宋_GB2312" w:eastAsia="仿宋_GB2312" w:hAnsi="仿宋" w:hint="eastAsia"/>
                <w:kern w:val="0"/>
                <w:sz w:val="24"/>
                <w:szCs w:val="24"/>
              </w:rPr>
              <w:t>关爱学生、尊重学生、公正平等对待学生、关注每个学生的成长。</w:t>
            </w:r>
          </w:p>
        </w:tc>
      </w:tr>
      <w:tr w:rsidR="007B459D">
        <w:trPr>
          <w:trHeight w:val="20"/>
          <w:jc w:val="center"/>
        </w:trPr>
        <w:tc>
          <w:tcPr>
            <w:tcW w:w="1127" w:type="dxa"/>
            <w:vMerge w:val="restart"/>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二</w:t>
            </w:r>
          </w:p>
        </w:tc>
        <w:tc>
          <w:tcPr>
            <w:tcW w:w="1127" w:type="dxa"/>
            <w:vMerge w:val="restart"/>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心理素质</w:t>
            </w:r>
          </w:p>
        </w:tc>
        <w:tc>
          <w:tcPr>
            <w:tcW w:w="1551" w:type="dxa"/>
            <w:vMerge w:val="restart"/>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5</w:t>
            </w:r>
          </w:p>
        </w:tc>
        <w:tc>
          <w:tcPr>
            <w:tcW w:w="985" w:type="dxa"/>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3</w:t>
            </w:r>
          </w:p>
        </w:tc>
        <w:tc>
          <w:tcPr>
            <w:tcW w:w="3574" w:type="dxa"/>
          </w:tcPr>
          <w:p w:rsidR="007B459D" w:rsidRDefault="006414CC">
            <w:pPr>
              <w:adjustRightInd w:val="0"/>
              <w:snapToGrid w:val="0"/>
              <w:rPr>
                <w:rFonts w:ascii="仿宋_GB2312" w:eastAsia="仿宋_GB2312" w:hAnsi="仿宋"/>
                <w:kern w:val="0"/>
                <w:sz w:val="24"/>
                <w:szCs w:val="24"/>
              </w:rPr>
            </w:pPr>
            <w:r>
              <w:rPr>
                <w:rFonts w:ascii="仿宋_GB2312" w:eastAsia="仿宋_GB2312" w:hAnsi="仿宋" w:hint="eastAsia"/>
                <w:kern w:val="0"/>
                <w:sz w:val="24"/>
                <w:szCs w:val="24"/>
              </w:rPr>
              <w:t>积极、开朗、有自信心</w:t>
            </w:r>
          </w:p>
        </w:tc>
      </w:tr>
      <w:tr w:rsidR="007B459D">
        <w:trPr>
          <w:trHeight w:val="20"/>
          <w:jc w:val="center"/>
        </w:trPr>
        <w:tc>
          <w:tcPr>
            <w:tcW w:w="1127" w:type="dxa"/>
            <w:vMerge/>
            <w:vAlign w:val="center"/>
          </w:tcPr>
          <w:p w:rsidR="007B459D" w:rsidRDefault="007B459D">
            <w:pPr>
              <w:adjustRightInd w:val="0"/>
              <w:snapToGrid w:val="0"/>
              <w:jc w:val="center"/>
              <w:rPr>
                <w:rFonts w:ascii="仿宋_GB2312" w:eastAsia="仿宋_GB2312" w:hAnsi="仿宋"/>
                <w:kern w:val="0"/>
                <w:sz w:val="24"/>
                <w:szCs w:val="24"/>
              </w:rPr>
            </w:pPr>
          </w:p>
        </w:tc>
        <w:tc>
          <w:tcPr>
            <w:tcW w:w="1127" w:type="dxa"/>
            <w:vMerge/>
            <w:vAlign w:val="center"/>
          </w:tcPr>
          <w:p w:rsidR="007B459D" w:rsidRDefault="007B459D">
            <w:pPr>
              <w:adjustRightInd w:val="0"/>
              <w:snapToGrid w:val="0"/>
              <w:jc w:val="center"/>
              <w:rPr>
                <w:rFonts w:ascii="仿宋_GB2312" w:eastAsia="仿宋_GB2312" w:hAnsi="仿宋"/>
                <w:kern w:val="0"/>
                <w:sz w:val="24"/>
                <w:szCs w:val="24"/>
              </w:rPr>
            </w:pPr>
          </w:p>
        </w:tc>
        <w:tc>
          <w:tcPr>
            <w:tcW w:w="1551" w:type="dxa"/>
            <w:vMerge/>
            <w:vAlign w:val="center"/>
          </w:tcPr>
          <w:p w:rsidR="007B459D" w:rsidRDefault="007B459D">
            <w:pPr>
              <w:adjustRightInd w:val="0"/>
              <w:snapToGrid w:val="0"/>
              <w:jc w:val="center"/>
              <w:rPr>
                <w:rFonts w:ascii="仿宋_GB2312" w:eastAsia="仿宋_GB2312" w:hAnsi="仿宋"/>
                <w:kern w:val="0"/>
                <w:sz w:val="24"/>
                <w:szCs w:val="24"/>
              </w:rPr>
            </w:pPr>
          </w:p>
        </w:tc>
        <w:tc>
          <w:tcPr>
            <w:tcW w:w="985" w:type="dxa"/>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2</w:t>
            </w:r>
          </w:p>
        </w:tc>
        <w:tc>
          <w:tcPr>
            <w:tcW w:w="3574" w:type="dxa"/>
          </w:tcPr>
          <w:p w:rsidR="007B459D" w:rsidRDefault="006414CC">
            <w:pPr>
              <w:adjustRightInd w:val="0"/>
              <w:snapToGrid w:val="0"/>
              <w:rPr>
                <w:rFonts w:ascii="仿宋_GB2312" w:eastAsia="仿宋_GB2312" w:hAnsi="仿宋"/>
                <w:kern w:val="0"/>
                <w:sz w:val="24"/>
                <w:szCs w:val="24"/>
              </w:rPr>
            </w:pPr>
            <w:r>
              <w:rPr>
                <w:rFonts w:ascii="仿宋_GB2312" w:eastAsia="仿宋_GB2312" w:hAnsi="仿宋" w:hint="eastAsia"/>
                <w:kern w:val="0"/>
                <w:sz w:val="24"/>
                <w:szCs w:val="24"/>
              </w:rPr>
              <w:t>有较强的情绪调节与自控能力</w:t>
            </w:r>
          </w:p>
        </w:tc>
      </w:tr>
      <w:tr w:rsidR="007B459D">
        <w:trPr>
          <w:trHeight w:val="20"/>
          <w:jc w:val="center"/>
        </w:trPr>
        <w:tc>
          <w:tcPr>
            <w:tcW w:w="1127" w:type="dxa"/>
            <w:vMerge w:val="restart"/>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三</w:t>
            </w:r>
          </w:p>
        </w:tc>
        <w:tc>
          <w:tcPr>
            <w:tcW w:w="1127" w:type="dxa"/>
            <w:vMerge w:val="restart"/>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仪表仪态</w:t>
            </w:r>
          </w:p>
        </w:tc>
        <w:tc>
          <w:tcPr>
            <w:tcW w:w="1551" w:type="dxa"/>
            <w:vMerge w:val="restart"/>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5</w:t>
            </w:r>
          </w:p>
        </w:tc>
        <w:tc>
          <w:tcPr>
            <w:tcW w:w="985" w:type="dxa"/>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2</w:t>
            </w:r>
          </w:p>
        </w:tc>
        <w:tc>
          <w:tcPr>
            <w:tcW w:w="3574" w:type="dxa"/>
          </w:tcPr>
          <w:p w:rsidR="007B459D" w:rsidRDefault="006414CC">
            <w:pPr>
              <w:adjustRightInd w:val="0"/>
              <w:snapToGrid w:val="0"/>
              <w:rPr>
                <w:rFonts w:ascii="仿宋_GB2312" w:eastAsia="仿宋_GB2312" w:hAnsi="仿宋"/>
                <w:kern w:val="0"/>
                <w:sz w:val="24"/>
                <w:szCs w:val="24"/>
              </w:rPr>
            </w:pPr>
            <w:r>
              <w:rPr>
                <w:rFonts w:ascii="仿宋_GB2312" w:eastAsia="仿宋_GB2312" w:hAnsi="仿宋" w:hint="eastAsia"/>
                <w:kern w:val="0"/>
                <w:sz w:val="24"/>
                <w:szCs w:val="24"/>
              </w:rPr>
              <w:t>衣着整洁，仪表得体，符合中等职业教育专业课教师和实习指导教师职业特点。</w:t>
            </w:r>
          </w:p>
        </w:tc>
      </w:tr>
      <w:tr w:rsidR="007B459D">
        <w:trPr>
          <w:trHeight w:val="20"/>
          <w:jc w:val="center"/>
        </w:trPr>
        <w:tc>
          <w:tcPr>
            <w:tcW w:w="1127" w:type="dxa"/>
            <w:vMerge/>
            <w:vAlign w:val="center"/>
          </w:tcPr>
          <w:p w:rsidR="007B459D" w:rsidRDefault="007B459D">
            <w:pPr>
              <w:adjustRightInd w:val="0"/>
              <w:snapToGrid w:val="0"/>
              <w:jc w:val="center"/>
              <w:rPr>
                <w:rFonts w:ascii="仿宋_GB2312" w:eastAsia="仿宋_GB2312" w:hAnsi="仿宋"/>
                <w:kern w:val="0"/>
                <w:sz w:val="24"/>
                <w:szCs w:val="24"/>
              </w:rPr>
            </w:pPr>
          </w:p>
        </w:tc>
        <w:tc>
          <w:tcPr>
            <w:tcW w:w="1127" w:type="dxa"/>
            <w:vMerge/>
            <w:vAlign w:val="center"/>
          </w:tcPr>
          <w:p w:rsidR="007B459D" w:rsidRDefault="007B459D">
            <w:pPr>
              <w:adjustRightInd w:val="0"/>
              <w:snapToGrid w:val="0"/>
              <w:jc w:val="center"/>
              <w:rPr>
                <w:rFonts w:ascii="仿宋_GB2312" w:eastAsia="仿宋_GB2312" w:hAnsi="仿宋"/>
                <w:kern w:val="0"/>
                <w:sz w:val="24"/>
                <w:szCs w:val="24"/>
              </w:rPr>
            </w:pPr>
          </w:p>
        </w:tc>
        <w:tc>
          <w:tcPr>
            <w:tcW w:w="1551" w:type="dxa"/>
            <w:vMerge/>
            <w:vAlign w:val="center"/>
          </w:tcPr>
          <w:p w:rsidR="007B459D" w:rsidRDefault="007B459D">
            <w:pPr>
              <w:adjustRightInd w:val="0"/>
              <w:snapToGrid w:val="0"/>
              <w:jc w:val="center"/>
              <w:rPr>
                <w:rFonts w:ascii="仿宋_GB2312" w:eastAsia="仿宋_GB2312" w:hAnsi="仿宋"/>
                <w:kern w:val="0"/>
                <w:sz w:val="24"/>
                <w:szCs w:val="24"/>
              </w:rPr>
            </w:pPr>
          </w:p>
        </w:tc>
        <w:tc>
          <w:tcPr>
            <w:tcW w:w="985" w:type="dxa"/>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3</w:t>
            </w:r>
          </w:p>
        </w:tc>
        <w:tc>
          <w:tcPr>
            <w:tcW w:w="3574" w:type="dxa"/>
          </w:tcPr>
          <w:p w:rsidR="007B459D" w:rsidRDefault="006414CC">
            <w:pPr>
              <w:adjustRightInd w:val="0"/>
              <w:snapToGrid w:val="0"/>
              <w:rPr>
                <w:rFonts w:ascii="仿宋_GB2312" w:eastAsia="仿宋_GB2312" w:hAnsi="仿宋"/>
                <w:kern w:val="0"/>
                <w:sz w:val="24"/>
                <w:szCs w:val="24"/>
              </w:rPr>
            </w:pPr>
            <w:r>
              <w:rPr>
                <w:rFonts w:ascii="仿宋_GB2312" w:eastAsia="仿宋_GB2312" w:hAnsi="仿宋" w:hint="eastAsia"/>
                <w:kern w:val="0"/>
                <w:sz w:val="24"/>
                <w:szCs w:val="24"/>
              </w:rPr>
              <w:t>行为举止稳重端庄大方，教态自然，肢体表达得当。</w:t>
            </w:r>
          </w:p>
        </w:tc>
      </w:tr>
      <w:tr w:rsidR="007B459D">
        <w:trPr>
          <w:trHeight w:val="20"/>
          <w:jc w:val="center"/>
        </w:trPr>
        <w:tc>
          <w:tcPr>
            <w:tcW w:w="1127" w:type="dxa"/>
            <w:vMerge w:val="restart"/>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四</w:t>
            </w:r>
          </w:p>
        </w:tc>
        <w:tc>
          <w:tcPr>
            <w:tcW w:w="1127" w:type="dxa"/>
            <w:vMerge w:val="restart"/>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言语表达</w:t>
            </w:r>
          </w:p>
        </w:tc>
        <w:tc>
          <w:tcPr>
            <w:tcW w:w="1551" w:type="dxa"/>
            <w:vMerge w:val="restart"/>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10</w:t>
            </w:r>
          </w:p>
        </w:tc>
        <w:tc>
          <w:tcPr>
            <w:tcW w:w="985" w:type="dxa"/>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5</w:t>
            </w:r>
          </w:p>
        </w:tc>
        <w:tc>
          <w:tcPr>
            <w:tcW w:w="3574" w:type="dxa"/>
          </w:tcPr>
          <w:p w:rsidR="007B459D" w:rsidRDefault="006414CC">
            <w:pPr>
              <w:adjustRightInd w:val="0"/>
              <w:snapToGrid w:val="0"/>
              <w:rPr>
                <w:rFonts w:ascii="仿宋_GB2312" w:eastAsia="仿宋_GB2312" w:hAnsi="仿宋"/>
                <w:kern w:val="0"/>
                <w:sz w:val="24"/>
                <w:szCs w:val="24"/>
              </w:rPr>
            </w:pPr>
            <w:r>
              <w:rPr>
                <w:rFonts w:ascii="仿宋_GB2312" w:eastAsia="仿宋_GB2312" w:hAnsi="仿宋" w:hint="eastAsia"/>
                <w:kern w:val="0"/>
                <w:sz w:val="24"/>
                <w:szCs w:val="24"/>
              </w:rPr>
              <w:t>语言清晰，表达准确，语速适宜</w:t>
            </w:r>
          </w:p>
        </w:tc>
      </w:tr>
      <w:tr w:rsidR="007B459D">
        <w:trPr>
          <w:trHeight w:val="20"/>
          <w:jc w:val="center"/>
        </w:trPr>
        <w:tc>
          <w:tcPr>
            <w:tcW w:w="1127" w:type="dxa"/>
            <w:vMerge/>
            <w:vAlign w:val="center"/>
          </w:tcPr>
          <w:p w:rsidR="007B459D" w:rsidRDefault="007B459D">
            <w:pPr>
              <w:adjustRightInd w:val="0"/>
              <w:snapToGrid w:val="0"/>
              <w:jc w:val="center"/>
              <w:rPr>
                <w:rFonts w:ascii="仿宋_GB2312" w:eastAsia="仿宋_GB2312" w:hAnsi="仿宋"/>
                <w:kern w:val="0"/>
                <w:sz w:val="24"/>
                <w:szCs w:val="24"/>
              </w:rPr>
            </w:pPr>
          </w:p>
        </w:tc>
        <w:tc>
          <w:tcPr>
            <w:tcW w:w="1127" w:type="dxa"/>
            <w:vMerge/>
            <w:vAlign w:val="center"/>
          </w:tcPr>
          <w:p w:rsidR="007B459D" w:rsidRDefault="007B459D">
            <w:pPr>
              <w:adjustRightInd w:val="0"/>
              <w:snapToGrid w:val="0"/>
              <w:jc w:val="center"/>
              <w:rPr>
                <w:rFonts w:ascii="仿宋_GB2312" w:eastAsia="仿宋_GB2312" w:hAnsi="仿宋"/>
                <w:kern w:val="0"/>
                <w:sz w:val="24"/>
                <w:szCs w:val="24"/>
              </w:rPr>
            </w:pPr>
          </w:p>
        </w:tc>
        <w:tc>
          <w:tcPr>
            <w:tcW w:w="1551" w:type="dxa"/>
            <w:vMerge/>
            <w:vAlign w:val="center"/>
          </w:tcPr>
          <w:p w:rsidR="007B459D" w:rsidRDefault="007B459D">
            <w:pPr>
              <w:adjustRightInd w:val="0"/>
              <w:snapToGrid w:val="0"/>
              <w:jc w:val="center"/>
              <w:rPr>
                <w:rFonts w:ascii="仿宋_GB2312" w:eastAsia="仿宋_GB2312" w:hAnsi="仿宋"/>
                <w:kern w:val="0"/>
                <w:sz w:val="24"/>
                <w:szCs w:val="24"/>
              </w:rPr>
            </w:pPr>
          </w:p>
        </w:tc>
        <w:tc>
          <w:tcPr>
            <w:tcW w:w="985" w:type="dxa"/>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5</w:t>
            </w:r>
          </w:p>
        </w:tc>
        <w:tc>
          <w:tcPr>
            <w:tcW w:w="3574" w:type="dxa"/>
          </w:tcPr>
          <w:p w:rsidR="007B459D" w:rsidRDefault="006414CC">
            <w:pPr>
              <w:adjustRightInd w:val="0"/>
              <w:snapToGrid w:val="0"/>
              <w:rPr>
                <w:rFonts w:ascii="仿宋_GB2312" w:eastAsia="仿宋_GB2312" w:hAnsi="仿宋"/>
                <w:kern w:val="0"/>
                <w:sz w:val="24"/>
                <w:szCs w:val="24"/>
              </w:rPr>
            </w:pPr>
            <w:r>
              <w:rPr>
                <w:rFonts w:ascii="仿宋_GB2312" w:eastAsia="仿宋_GB2312" w:hAnsi="仿宋" w:hint="eastAsia"/>
                <w:kern w:val="0"/>
                <w:sz w:val="24"/>
                <w:szCs w:val="24"/>
              </w:rPr>
              <w:t>善于倾听、交流，有亲和力</w:t>
            </w:r>
          </w:p>
        </w:tc>
      </w:tr>
      <w:tr w:rsidR="007B459D">
        <w:trPr>
          <w:trHeight w:val="20"/>
          <w:jc w:val="center"/>
        </w:trPr>
        <w:tc>
          <w:tcPr>
            <w:tcW w:w="1127" w:type="dxa"/>
            <w:vMerge w:val="restart"/>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五</w:t>
            </w:r>
          </w:p>
        </w:tc>
        <w:tc>
          <w:tcPr>
            <w:tcW w:w="1127" w:type="dxa"/>
            <w:vMerge w:val="restart"/>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思维品质</w:t>
            </w:r>
          </w:p>
        </w:tc>
        <w:tc>
          <w:tcPr>
            <w:tcW w:w="1551" w:type="dxa"/>
            <w:vMerge w:val="restart"/>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10</w:t>
            </w:r>
          </w:p>
        </w:tc>
        <w:tc>
          <w:tcPr>
            <w:tcW w:w="985" w:type="dxa"/>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4</w:t>
            </w:r>
          </w:p>
        </w:tc>
        <w:tc>
          <w:tcPr>
            <w:tcW w:w="3574" w:type="dxa"/>
          </w:tcPr>
          <w:p w:rsidR="007B459D" w:rsidRDefault="006414CC">
            <w:pPr>
              <w:adjustRightInd w:val="0"/>
              <w:snapToGrid w:val="0"/>
              <w:rPr>
                <w:rFonts w:ascii="仿宋_GB2312" w:eastAsia="仿宋_GB2312" w:hAnsi="仿宋"/>
                <w:kern w:val="0"/>
                <w:sz w:val="24"/>
                <w:szCs w:val="24"/>
              </w:rPr>
            </w:pPr>
            <w:r>
              <w:rPr>
                <w:rFonts w:ascii="仿宋_GB2312" w:eastAsia="仿宋_GB2312" w:hAnsi="仿宋" w:hint="eastAsia"/>
                <w:kern w:val="0"/>
                <w:sz w:val="24"/>
                <w:szCs w:val="24"/>
              </w:rPr>
              <w:t>思维缜密、灵活，富有条理，看待问题全面。</w:t>
            </w:r>
          </w:p>
        </w:tc>
      </w:tr>
      <w:tr w:rsidR="007B459D">
        <w:trPr>
          <w:trHeight w:val="20"/>
          <w:jc w:val="center"/>
        </w:trPr>
        <w:tc>
          <w:tcPr>
            <w:tcW w:w="1127" w:type="dxa"/>
            <w:vMerge/>
            <w:vAlign w:val="center"/>
          </w:tcPr>
          <w:p w:rsidR="007B459D" w:rsidRDefault="007B459D">
            <w:pPr>
              <w:adjustRightInd w:val="0"/>
              <w:snapToGrid w:val="0"/>
              <w:jc w:val="center"/>
              <w:rPr>
                <w:rFonts w:ascii="仿宋_GB2312" w:eastAsia="仿宋_GB2312" w:hAnsi="仿宋"/>
                <w:kern w:val="0"/>
                <w:sz w:val="24"/>
                <w:szCs w:val="24"/>
              </w:rPr>
            </w:pPr>
          </w:p>
        </w:tc>
        <w:tc>
          <w:tcPr>
            <w:tcW w:w="1127" w:type="dxa"/>
            <w:vMerge/>
            <w:vAlign w:val="center"/>
          </w:tcPr>
          <w:p w:rsidR="007B459D" w:rsidRDefault="007B459D">
            <w:pPr>
              <w:adjustRightInd w:val="0"/>
              <w:snapToGrid w:val="0"/>
              <w:jc w:val="center"/>
              <w:rPr>
                <w:rFonts w:ascii="仿宋_GB2312" w:eastAsia="仿宋_GB2312" w:hAnsi="仿宋"/>
                <w:kern w:val="0"/>
                <w:sz w:val="24"/>
                <w:szCs w:val="24"/>
              </w:rPr>
            </w:pPr>
          </w:p>
        </w:tc>
        <w:tc>
          <w:tcPr>
            <w:tcW w:w="1551" w:type="dxa"/>
            <w:vMerge/>
            <w:vAlign w:val="center"/>
          </w:tcPr>
          <w:p w:rsidR="007B459D" w:rsidRDefault="007B459D">
            <w:pPr>
              <w:adjustRightInd w:val="0"/>
              <w:snapToGrid w:val="0"/>
              <w:jc w:val="center"/>
              <w:rPr>
                <w:rFonts w:ascii="仿宋_GB2312" w:eastAsia="仿宋_GB2312" w:hAnsi="仿宋"/>
                <w:kern w:val="0"/>
                <w:sz w:val="24"/>
                <w:szCs w:val="24"/>
              </w:rPr>
            </w:pPr>
          </w:p>
        </w:tc>
        <w:tc>
          <w:tcPr>
            <w:tcW w:w="985" w:type="dxa"/>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3</w:t>
            </w:r>
          </w:p>
        </w:tc>
        <w:tc>
          <w:tcPr>
            <w:tcW w:w="3574" w:type="dxa"/>
          </w:tcPr>
          <w:p w:rsidR="007B459D" w:rsidRDefault="006414CC">
            <w:pPr>
              <w:adjustRightInd w:val="0"/>
              <w:snapToGrid w:val="0"/>
              <w:rPr>
                <w:rFonts w:ascii="仿宋_GB2312" w:eastAsia="仿宋_GB2312" w:hAnsi="仿宋"/>
                <w:kern w:val="0"/>
                <w:sz w:val="24"/>
                <w:szCs w:val="24"/>
              </w:rPr>
            </w:pPr>
            <w:r>
              <w:rPr>
                <w:rFonts w:ascii="仿宋_GB2312" w:eastAsia="仿宋_GB2312" w:hAnsi="仿宋" w:hint="eastAsia"/>
                <w:kern w:val="0"/>
                <w:sz w:val="24"/>
                <w:szCs w:val="24"/>
              </w:rPr>
              <w:t>迅速地抓住核心要素、准确地理解和分析问题。</w:t>
            </w:r>
          </w:p>
        </w:tc>
      </w:tr>
      <w:tr w:rsidR="007B459D">
        <w:trPr>
          <w:trHeight w:val="20"/>
          <w:jc w:val="center"/>
        </w:trPr>
        <w:tc>
          <w:tcPr>
            <w:tcW w:w="1127" w:type="dxa"/>
            <w:vMerge/>
            <w:vAlign w:val="center"/>
          </w:tcPr>
          <w:p w:rsidR="007B459D" w:rsidRDefault="007B459D">
            <w:pPr>
              <w:adjustRightInd w:val="0"/>
              <w:snapToGrid w:val="0"/>
              <w:jc w:val="center"/>
              <w:rPr>
                <w:rFonts w:ascii="仿宋_GB2312" w:eastAsia="仿宋_GB2312" w:hAnsi="仿宋"/>
                <w:kern w:val="0"/>
                <w:sz w:val="24"/>
                <w:szCs w:val="24"/>
              </w:rPr>
            </w:pPr>
          </w:p>
        </w:tc>
        <w:tc>
          <w:tcPr>
            <w:tcW w:w="1127" w:type="dxa"/>
            <w:vMerge/>
            <w:vAlign w:val="center"/>
          </w:tcPr>
          <w:p w:rsidR="007B459D" w:rsidRDefault="007B459D">
            <w:pPr>
              <w:adjustRightInd w:val="0"/>
              <w:snapToGrid w:val="0"/>
              <w:jc w:val="center"/>
              <w:rPr>
                <w:rFonts w:ascii="仿宋_GB2312" w:eastAsia="仿宋_GB2312" w:hAnsi="仿宋"/>
                <w:kern w:val="0"/>
                <w:sz w:val="24"/>
                <w:szCs w:val="24"/>
              </w:rPr>
            </w:pPr>
          </w:p>
        </w:tc>
        <w:tc>
          <w:tcPr>
            <w:tcW w:w="1551" w:type="dxa"/>
            <w:vMerge/>
            <w:vAlign w:val="center"/>
          </w:tcPr>
          <w:p w:rsidR="007B459D" w:rsidRDefault="007B459D">
            <w:pPr>
              <w:adjustRightInd w:val="0"/>
              <w:snapToGrid w:val="0"/>
              <w:jc w:val="center"/>
              <w:rPr>
                <w:rFonts w:ascii="仿宋_GB2312" w:eastAsia="仿宋_GB2312" w:hAnsi="仿宋"/>
                <w:kern w:val="0"/>
                <w:sz w:val="24"/>
                <w:szCs w:val="24"/>
              </w:rPr>
            </w:pPr>
          </w:p>
        </w:tc>
        <w:tc>
          <w:tcPr>
            <w:tcW w:w="985" w:type="dxa"/>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3</w:t>
            </w:r>
          </w:p>
        </w:tc>
        <w:tc>
          <w:tcPr>
            <w:tcW w:w="3574" w:type="dxa"/>
          </w:tcPr>
          <w:p w:rsidR="007B459D" w:rsidRDefault="006414CC">
            <w:pPr>
              <w:adjustRightInd w:val="0"/>
              <w:snapToGrid w:val="0"/>
              <w:rPr>
                <w:rFonts w:ascii="仿宋_GB2312" w:eastAsia="仿宋_GB2312" w:hAnsi="仿宋"/>
                <w:kern w:val="0"/>
                <w:sz w:val="24"/>
                <w:szCs w:val="24"/>
              </w:rPr>
            </w:pPr>
            <w:r>
              <w:rPr>
                <w:rFonts w:ascii="仿宋_GB2312" w:eastAsia="仿宋_GB2312" w:hAnsi="仿宋" w:hint="eastAsia"/>
                <w:kern w:val="0"/>
                <w:sz w:val="24"/>
                <w:szCs w:val="24"/>
              </w:rPr>
              <w:t>具有创新性的解决问题的思路和方法</w:t>
            </w:r>
          </w:p>
        </w:tc>
      </w:tr>
      <w:tr w:rsidR="007B459D">
        <w:trPr>
          <w:trHeight w:val="20"/>
          <w:jc w:val="center"/>
        </w:trPr>
        <w:tc>
          <w:tcPr>
            <w:tcW w:w="1127" w:type="dxa"/>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六</w:t>
            </w:r>
          </w:p>
        </w:tc>
        <w:tc>
          <w:tcPr>
            <w:tcW w:w="1127" w:type="dxa"/>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教学设计</w:t>
            </w:r>
          </w:p>
        </w:tc>
        <w:tc>
          <w:tcPr>
            <w:tcW w:w="1551" w:type="dxa"/>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30</w:t>
            </w:r>
          </w:p>
        </w:tc>
        <w:tc>
          <w:tcPr>
            <w:tcW w:w="985" w:type="dxa"/>
            <w:vAlign w:val="center"/>
          </w:tcPr>
          <w:p w:rsidR="007B459D" w:rsidRDefault="006414CC">
            <w:pPr>
              <w:adjustRightInd w:val="0"/>
              <w:snapToGrid w:val="0"/>
              <w:jc w:val="center"/>
              <w:rPr>
                <w:rFonts w:ascii="仿宋_GB2312" w:eastAsia="仿宋_GB2312" w:hAnsi="仿宋"/>
                <w:kern w:val="0"/>
                <w:sz w:val="24"/>
                <w:szCs w:val="24"/>
              </w:rPr>
            </w:pPr>
            <w:r>
              <w:rPr>
                <w:rFonts w:ascii="仿宋_GB2312" w:eastAsia="仿宋_GB2312" w:hAnsi="仿宋" w:hint="eastAsia"/>
                <w:kern w:val="0"/>
                <w:sz w:val="24"/>
                <w:szCs w:val="24"/>
              </w:rPr>
              <w:t>10</w:t>
            </w:r>
          </w:p>
        </w:tc>
        <w:tc>
          <w:tcPr>
            <w:tcW w:w="3574" w:type="dxa"/>
          </w:tcPr>
          <w:p w:rsidR="007B459D" w:rsidRDefault="006414CC">
            <w:pPr>
              <w:adjustRightInd w:val="0"/>
              <w:snapToGrid w:val="0"/>
              <w:rPr>
                <w:rFonts w:ascii="仿宋_GB2312" w:eastAsia="仿宋_GB2312" w:hAnsi="仿宋"/>
                <w:kern w:val="0"/>
                <w:sz w:val="24"/>
                <w:szCs w:val="24"/>
              </w:rPr>
            </w:pPr>
            <w:r>
              <w:rPr>
                <w:rFonts w:ascii="仿宋_GB2312" w:eastAsia="仿宋_GB2312" w:hAnsi="仿宋" w:hint="eastAsia"/>
                <w:kern w:val="0"/>
                <w:sz w:val="24"/>
                <w:szCs w:val="24"/>
              </w:rPr>
              <w:t>能体现所任专业对应行业的产业和技术发展的现状和趋势，了解教学课程在专业人才培养中的地位、作用。</w:t>
            </w:r>
          </w:p>
        </w:tc>
      </w:tr>
    </w:tbl>
    <w:p w:rsidR="007B459D" w:rsidRDefault="007B459D"/>
    <w:sectPr w:rsidR="007B459D">
      <w:pgSz w:w="11906" w:h="16838"/>
      <w:pgMar w:top="1383" w:right="1689" w:bottom="1383" w:left="168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4CC" w:rsidRDefault="006414CC" w:rsidP="007B53E4">
      <w:r>
        <w:separator/>
      </w:r>
    </w:p>
  </w:endnote>
  <w:endnote w:type="continuationSeparator" w:id="0">
    <w:p w:rsidR="006414CC" w:rsidRDefault="006414CC" w:rsidP="007B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4CC" w:rsidRDefault="006414CC" w:rsidP="007B53E4">
      <w:r>
        <w:separator/>
      </w:r>
    </w:p>
  </w:footnote>
  <w:footnote w:type="continuationSeparator" w:id="0">
    <w:p w:rsidR="006414CC" w:rsidRDefault="006414CC" w:rsidP="007B5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33"/>
    <w:rsid w:val="FEEEF959"/>
    <w:rsid w:val="000B1DDD"/>
    <w:rsid w:val="001D6529"/>
    <w:rsid w:val="003C04A0"/>
    <w:rsid w:val="006414CC"/>
    <w:rsid w:val="00651208"/>
    <w:rsid w:val="007B459D"/>
    <w:rsid w:val="007B53E4"/>
    <w:rsid w:val="00A97D33"/>
    <w:rsid w:val="00B02E0D"/>
    <w:rsid w:val="00B25A13"/>
    <w:rsid w:val="00D23D98"/>
    <w:rsid w:val="00F25FBF"/>
    <w:rsid w:val="00FA3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0E2BDA-43DD-4DD3-9D78-5B39B654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7</cp:revision>
  <dcterms:created xsi:type="dcterms:W3CDTF">2019-11-22T11:23:00Z</dcterms:created>
  <dcterms:modified xsi:type="dcterms:W3CDTF">2023-03-26T16:57:00Z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